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8" w:type="dxa"/>
        <w:tblInd w:w="-5" w:type="dxa"/>
        <w:tblLayout w:type="fixed"/>
        <w:tblCellMar>
          <w:top w:w="567" w:type="dxa"/>
          <w:left w:w="567" w:type="dxa"/>
          <w:bottom w:w="284" w:type="dxa"/>
          <w:right w:w="284" w:type="dxa"/>
        </w:tblCellMar>
        <w:tblLook w:val="04A0" w:firstRow="1" w:lastRow="0" w:firstColumn="1" w:lastColumn="0" w:noHBand="0" w:noVBand="1"/>
      </w:tblPr>
      <w:tblGrid>
        <w:gridCol w:w="3397"/>
        <w:gridCol w:w="6231"/>
      </w:tblGrid>
      <w:tr w:rsidR="007307B2" w:rsidRPr="00F4265C" w14:paraId="5F9990F4" w14:textId="77777777" w:rsidTr="008912D5">
        <w:trPr>
          <w:trHeight w:val="1250"/>
        </w:trPr>
        <w:tc>
          <w:tcPr>
            <w:tcW w:w="3397" w:type="dxa"/>
            <w:shd w:val="clear" w:color="auto" w:fill="F2F2F2"/>
            <w:tcMar>
              <w:top w:w="0" w:type="dxa"/>
              <w:left w:w="108" w:type="dxa"/>
              <w:bottom w:w="0" w:type="dxa"/>
              <w:right w:w="108" w:type="dxa"/>
            </w:tcMar>
          </w:tcPr>
          <w:p w14:paraId="3159D172" w14:textId="4B7A2F85" w:rsidR="007307B2" w:rsidRPr="007307B2" w:rsidRDefault="004B0130" w:rsidP="00901313">
            <w:pPr>
              <w:spacing w:after="0" w:line="240" w:lineRule="auto"/>
              <w:rPr>
                <w:rFonts w:ascii="Daytona" w:hAnsi="Daytona"/>
                <w:noProof/>
                <w:sz w:val="20"/>
                <w:szCs w:val="20"/>
              </w:rPr>
            </w:pPr>
            <w:r>
              <w:rPr>
                <w:noProof/>
              </w:rPr>
              <w:t xml:space="preserve">                 </w:t>
            </w:r>
            <w:r w:rsidR="00BF62D6">
              <w:rPr>
                <w:noProof/>
              </w:rPr>
              <w:drawing>
                <wp:inline distT="0" distB="0" distL="0" distR="0" wp14:anchorId="084B9438" wp14:editId="6C619A11">
                  <wp:extent cx="685437" cy="842902"/>
                  <wp:effectExtent l="0" t="0" r="635" b="0"/>
                  <wp:docPr id="15449944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94" cy="877036"/>
                          </a:xfrm>
                          <a:prstGeom prst="rect">
                            <a:avLst/>
                          </a:prstGeom>
                          <a:noFill/>
                          <a:ln>
                            <a:noFill/>
                          </a:ln>
                        </pic:spPr>
                      </pic:pic>
                    </a:graphicData>
                  </a:graphic>
                </wp:inline>
              </w:drawing>
            </w:r>
          </w:p>
        </w:tc>
        <w:tc>
          <w:tcPr>
            <w:tcW w:w="6231" w:type="dxa"/>
            <w:vAlign w:val="center"/>
          </w:tcPr>
          <w:p w14:paraId="17AD8AF5" w14:textId="77777777" w:rsidR="007307B2" w:rsidRPr="007307B2" w:rsidRDefault="007307B2" w:rsidP="007307B2">
            <w:pPr>
              <w:spacing w:after="0" w:line="240" w:lineRule="auto"/>
              <w:rPr>
                <w:rFonts w:ascii="Daytona" w:hAnsi="Daytona"/>
                <w:b/>
                <w:bCs/>
                <w:color w:val="0C547A"/>
                <w:sz w:val="48"/>
                <w:szCs w:val="48"/>
              </w:rPr>
            </w:pPr>
            <w:r w:rsidRPr="007307B2">
              <w:rPr>
                <w:rFonts w:ascii="Daytona" w:hAnsi="Daytona"/>
                <w:b/>
                <w:bCs/>
                <w:color w:val="0C547A"/>
                <w:sz w:val="48"/>
                <w:szCs w:val="48"/>
              </w:rPr>
              <w:t xml:space="preserve">CAHIER </w:t>
            </w:r>
            <w:r w:rsidRPr="008912D5">
              <w:rPr>
                <w:rFonts w:ascii="Daytona" w:hAnsi="Daytona"/>
                <w:b/>
                <w:bCs/>
                <w:color w:val="0C547A"/>
                <w:sz w:val="48"/>
                <w:szCs w:val="48"/>
              </w:rPr>
              <w:t>D’ACTEUR</w:t>
            </w:r>
          </w:p>
          <w:p w14:paraId="2A2F5A7E" w14:textId="464F2B8D" w:rsidR="007307B2" w:rsidRDefault="00EA37F2" w:rsidP="007307B2">
            <w:pPr>
              <w:spacing w:after="0" w:line="240" w:lineRule="auto"/>
              <w:rPr>
                <w:rFonts w:ascii="Daytona" w:hAnsi="Daytona"/>
                <w:b/>
                <w:bCs/>
                <w:color w:val="0C547A"/>
                <w:sz w:val="44"/>
                <w:szCs w:val="44"/>
              </w:rPr>
            </w:pPr>
            <w:r>
              <w:rPr>
                <w:rFonts w:ascii="Daytona" w:hAnsi="Daytona"/>
                <w:b/>
                <w:bCs/>
                <w:color w:val="3DBEE8"/>
                <w:sz w:val="36"/>
                <w:szCs w:val="36"/>
              </w:rPr>
              <w:t>PIEBÎEM</w:t>
            </w:r>
            <w:r w:rsidR="00563D4A">
              <w:rPr>
                <w:rFonts w:ascii="Daytona" w:hAnsi="Daytona"/>
                <w:b/>
                <w:bCs/>
                <w:color w:val="3DBEE8"/>
                <w:sz w:val="36"/>
                <w:szCs w:val="36"/>
              </w:rPr>
              <w:t xml:space="preserve"> </w:t>
            </w:r>
          </w:p>
        </w:tc>
      </w:tr>
      <w:tr w:rsidR="007307B2" w:rsidRPr="00F4265C" w14:paraId="4080B5AE" w14:textId="77777777" w:rsidTr="008912D5">
        <w:trPr>
          <w:trHeight w:val="9644"/>
        </w:trPr>
        <w:tc>
          <w:tcPr>
            <w:tcW w:w="3397" w:type="dxa"/>
            <w:shd w:val="clear" w:color="auto" w:fill="3DBEE8"/>
            <w:tcMar>
              <w:top w:w="284" w:type="dxa"/>
              <w:left w:w="284" w:type="dxa"/>
              <w:bottom w:w="0" w:type="dxa"/>
              <w:right w:w="0" w:type="dxa"/>
            </w:tcMar>
          </w:tcPr>
          <w:p w14:paraId="10367BDD" w14:textId="55009F43" w:rsidR="007307B2" w:rsidRDefault="007307B2" w:rsidP="007307B2">
            <w:pPr>
              <w:pStyle w:val="1-TITRE1"/>
              <w:ind w:right="555"/>
              <w:rPr>
                <w:rFonts w:ascii="Daytona" w:hAnsi="Daytona"/>
                <w:color w:val="0C547A"/>
              </w:rPr>
            </w:pPr>
            <w:r>
              <w:rPr>
                <w:rFonts w:ascii="Daytona" w:hAnsi="Daytona"/>
                <w:color w:val="0C547A"/>
              </w:rPr>
              <w:t>NOM DE VOTRE STRUCTURE :</w:t>
            </w:r>
            <w:r w:rsidR="009A6A23">
              <w:rPr>
                <w:rFonts w:ascii="Daytona" w:hAnsi="Daytona"/>
                <w:color w:val="0C547A"/>
              </w:rPr>
              <w:t xml:space="preserve"> PIEB</w:t>
            </w:r>
            <w:r w:rsidR="003F665F">
              <w:rPr>
                <w:rFonts w:ascii="Daytona" w:hAnsi="Daytona"/>
                <w:color w:val="0C547A"/>
              </w:rPr>
              <w:t>î</w:t>
            </w:r>
            <w:r w:rsidR="009A6A23">
              <w:rPr>
                <w:rFonts w:ascii="Daytona" w:hAnsi="Daytona"/>
                <w:color w:val="0C547A"/>
              </w:rPr>
              <w:t>EM</w:t>
            </w:r>
          </w:p>
          <w:p w14:paraId="523E7EA4" w14:textId="72802232" w:rsidR="00596989" w:rsidRPr="00596989" w:rsidRDefault="007307B2" w:rsidP="00596989">
            <w:pPr>
              <w:pStyle w:val="1-TITRE1"/>
              <w:ind w:right="555"/>
              <w:rPr>
                <w:rFonts w:ascii="Daytona" w:hAnsi="Daytona"/>
                <w:color w:val="0C547A"/>
              </w:rPr>
            </w:pPr>
            <w:r>
              <w:rPr>
                <w:rFonts w:ascii="Daytona" w:hAnsi="Daytona"/>
                <w:color w:val="0C547A"/>
              </w:rPr>
              <w:t>CONTACT :</w:t>
            </w:r>
            <w:r w:rsidR="00596989" w:rsidRPr="00596989">
              <w:rPr>
                <w:rFonts w:ascii="ArialMT" w:hAnsi="ArialMT" w:cs="ArialMT"/>
                <w:color w:val="FFFFFF"/>
                <w:sz w:val="18"/>
                <w:szCs w:val="18"/>
              </w:rPr>
              <w:t xml:space="preserve"> </w:t>
            </w:r>
            <w:r w:rsidR="007E09CC" w:rsidRPr="00596989">
              <w:rPr>
                <w:rFonts w:ascii="Daytona" w:hAnsi="Daytona"/>
                <w:caps w:val="0"/>
                <w:color w:val="0C547A"/>
              </w:rPr>
              <w:t>pebiem56@gmail.com</w:t>
            </w:r>
          </w:p>
          <w:p w14:paraId="428D45A0" w14:textId="59D2E172" w:rsidR="00596989" w:rsidRPr="00596989" w:rsidRDefault="007E09CC" w:rsidP="00596989">
            <w:pPr>
              <w:pStyle w:val="1-TITRE1"/>
              <w:ind w:right="555"/>
              <w:rPr>
                <w:rFonts w:ascii="Daytona" w:hAnsi="Daytona"/>
                <w:color w:val="0C547A"/>
              </w:rPr>
            </w:pPr>
            <w:r w:rsidRPr="00596989">
              <w:rPr>
                <w:rFonts w:ascii="Daytona" w:hAnsi="Daytona"/>
                <w:caps w:val="0"/>
                <w:color w:val="0C547A"/>
              </w:rPr>
              <w:t>https://piebiem.webnode.fr</w:t>
            </w:r>
          </w:p>
          <w:p w14:paraId="10CF1300" w14:textId="5B875D9F" w:rsidR="007307B2" w:rsidRDefault="007307B2" w:rsidP="007307B2">
            <w:pPr>
              <w:pStyle w:val="1-TITRE1"/>
              <w:ind w:right="555"/>
              <w:rPr>
                <w:rFonts w:ascii="Daytona" w:hAnsi="Daytona"/>
                <w:color w:val="0C547A"/>
              </w:rPr>
            </w:pPr>
            <w:r>
              <w:rPr>
                <w:rFonts w:ascii="Daytona" w:hAnsi="Daytona"/>
                <w:color w:val="0C547A"/>
              </w:rPr>
              <w:t>Présentation de la structure :</w:t>
            </w:r>
          </w:p>
          <w:p w14:paraId="21482034" w14:textId="2734144C" w:rsidR="0003197C" w:rsidRDefault="007E09CC" w:rsidP="00CE63D0">
            <w:pPr>
              <w:pStyle w:val="1-TITRE1"/>
              <w:ind w:right="555"/>
              <w:rPr>
                <w:rFonts w:ascii="Daytona" w:hAnsi="Daytona"/>
                <w:bCs/>
                <w:caps w:val="0"/>
                <w:color w:val="0C547A"/>
              </w:rPr>
            </w:pPr>
            <w:r>
              <w:rPr>
                <w:rFonts w:ascii="Daytona" w:hAnsi="Daytona"/>
                <w:caps w:val="0"/>
                <w:color w:val="0C547A"/>
              </w:rPr>
              <w:t>P</w:t>
            </w:r>
            <w:r w:rsidR="001B38F5">
              <w:rPr>
                <w:rFonts w:ascii="Daytona" w:hAnsi="Daytona"/>
                <w:caps w:val="0"/>
                <w:color w:val="0C547A"/>
              </w:rPr>
              <w:t>IEB</w:t>
            </w:r>
            <w:r w:rsidR="008C09F2">
              <w:rPr>
                <w:rFonts w:ascii="Daytona" w:hAnsi="Daytona"/>
                <w:caps w:val="0"/>
                <w:color w:val="0C547A"/>
              </w:rPr>
              <w:t>î</w:t>
            </w:r>
            <w:r w:rsidR="001B38F5">
              <w:rPr>
                <w:rFonts w:ascii="Daytona" w:hAnsi="Daytona"/>
                <w:caps w:val="0"/>
                <w:color w:val="0C547A"/>
              </w:rPr>
              <w:t>EM</w:t>
            </w:r>
            <w:r w:rsidRPr="00DD2B05">
              <w:rPr>
                <w:rFonts w:ascii="Daytona" w:hAnsi="Daytona"/>
                <w:caps w:val="0"/>
                <w:color w:val="0C547A"/>
              </w:rPr>
              <w:t xml:space="preserve"> </w:t>
            </w:r>
            <w:r w:rsidRPr="00DD2B05">
              <w:rPr>
                <w:rFonts w:ascii="Daytona" w:hAnsi="Daytona"/>
                <w:bCs/>
                <w:i/>
                <w:iCs/>
                <w:caps w:val="0"/>
                <w:color w:val="0C547A"/>
              </w:rPr>
              <w:t>(</w:t>
            </w:r>
            <w:r w:rsidR="008F18F7">
              <w:rPr>
                <w:rFonts w:ascii="Daytona" w:hAnsi="Daytona"/>
                <w:bCs/>
                <w:caps w:val="0"/>
                <w:color w:val="0C547A"/>
              </w:rPr>
              <w:t>P</w:t>
            </w:r>
            <w:r>
              <w:rPr>
                <w:rFonts w:ascii="Daytona" w:hAnsi="Daytona"/>
                <w:bCs/>
                <w:caps w:val="0"/>
                <w:color w:val="0C547A"/>
              </w:rPr>
              <w:t xml:space="preserve">réserver </w:t>
            </w:r>
            <w:r w:rsidRPr="00DD2B05">
              <w:rPr>
                <w:rFonts w:ascii="Daytona" w:hAnsi="Daytona"/>
                <w:bCs/>
                <w:caps w:val="0"/>
                <w:color w:val="0C547A"/>
              </w:rPr>
              <w:t>l’identité</w:t>
            </w:r>
            <w:r w:rsidR="00CE6363">
              <w:rPr>
                <w:rFonts w:ascii="Daytona" w:hAnsi="Daytona"/>
                <w:bCs/>
                <w:caps w:val="0"/>
                <w:color w:val="0C547A"/>
              </w:rPr>
              <w:t xml:space="preserve"> </w:t>
            </w:r>
            <w:r w:rsidRPr="00DD2B05">
              <w:rPr>
                <w:rFonts w:ascii="Daytona" w:hAnsi="Daytona"/>
                <w:bCs/>
                <w:caps w:val="0"/>
                <w:color w:val="0C547A"/>
              </w:rPr>
              <w:t>environnementale de la</w:t>
            </w:r>
            <w:r>
              <w:rPr>
                <w:rFonts w:ascii="Daytona" w:hAnsi="Daytona"/>
                <w:bCs/>
                <w:caps w:val="0"/>
                <w:color w:val="0C547A"/>
              </w:rPr>
              <w:t xml:space="preserve"> B</w:t>
            </w:r>
            <w:r w:rsidRPr="00DD2B05">
              <w:rPr>
                <w:rFonts w:ascii="Daytona" w:hAnsi="Daytona"/>
                <w:bCs/>
                <w:caps w:val="0"/>
                <w:color w:val="0C547A"/>
              </w:rPr>
              <w:t>retagne sud et des îles</w:t>
            </w:r>
            <w:r>
              <w:rPr>
                <w:rFonts w:ascii="Daytona" w:hAnsi="Daytona"/>
                <w:bCs/>
                <w:caps w:val="0"/>
                <w:color w:val="0C547A"/>
              </w:rPr>
              <w:t xml:space="preserve"> </w:t>
            </w:r>
            <w:r w:rsidRPr="00DD2B05">
              <w:rPr>
                <w:rFonts w:ascii="Daytona" w:hAnsi="Daytona"/>
                <w:bCs/>
                <w:caps w:val="0"/>
                <w:color w:val="0C547A"/>
              </w:rPr>
              <w:t>contre</w:t>
            </w:r>
            <w:r>
              <w:rPr>
                <w:rFonts w:ascii="Daytona" w:hAnsi="Daytona"/>
                <w:bCs/>
                <w:caps w:val="0"/>
                <w:color w:val="0C547A"/>
              </w:rPr>
              <w:t xml:space="preserve"> </w:t>
            </w:r>
            <w:r w:rsidRPr="00DD2B05">
              <w:rPr>
                <w:rFonts w:ascii="Daytona" w:hAnsi="Daytona"/>
                <w:bCs/>
                <w:caps w:val="0"/>
                <w:color w:val="0C547A"/>
              </w:rPr>
              <w:t>l’</w:t>
            </w:r>
            <w:r w:rsidR="008C09F2">
              <w:rPr>
                <w:rFonts w:ascii="Daytona" w:hAnsi="Daytona"/>
                <w:bCs/>
                <w:caps w:val="0"/>
                <w:color w:val="0C547A"/>
              </w:rPr>
              <w:t>é</w:t>
            </w:r>
            <w:r w:rsidRPr="00DD2B05">
              <w:rPr>
                <w:rFonts w:ascii="Daytona" w:hAnsi="Daytona"/>
                <w:bCs/>
                <w:caps w:val="0"/>
                <w:color w:val="0C547A"/>
              </w:rPr>
              <w:t>olien en mer</w:t>
            </w:r>
            <w:r w:rsidRPr="00DD2B05">
              <w:rPr>
                <w:rFonts w:ascii="Daytona" w:hAnsi="Daytona"/>
                <w:bCs/>
                <w:i/>
                <w:iCs/>
                <w:caps w:val="0"/>
                <w:color w:val="0C547A"/>
              </w:rPr>
              <w:t xml:space="preserve">) </w:t>
            </w:r>
            <w:r w:rsidRPr="00DD2B05">
              <w:rPr>
                <w:rFonts w:ascii="Daytona" w:hAnsi="Daytona"/>
                <w:bCs/>
                <w:caps w:val="0"/>
                <w:color w:val="0C547A"/>
              </w:rPr>
              <w:t>entend</w:t>
            </w:r>
            <w:r>
              <w:rPr>
                <w:rFonts w:ascii="Daytona" w:hAnsi="Daytona"/>
                <w:bCs/>
                <w:caps w:val="0"/>
                <w:color w:val="0C547A"/>
              </w:rPr>
              <w:t xml:space="preserve"> </w:t>
            </w:r>
            <w:r w:rsidRPr="00DD2B05">
              <w:rPr>
                <w:rFonts w:ascii="Daytona" w:hAnsi="Daytona"/>
                <w:bCs/>
                <w:caps w:val="0"/>
                <w:color w:val="0C547A"/>
              </w:rPr>
              <w:t>mobiliser les habitants et</w:t>
            </w:r>
            <w:r>
              <w:rPr>
                <w:rFonts w:ascii="Daytona" w:hAnsi="Daytona"/>
                <w:bCs/>
                <w:caps w:val="0"/>
                <w:color w:val="0C547A"/>
              </w:rPr>
              <w:t xml:space="preserve"> </w:t>
            </w:r>
            <w:r w:rsidRPr="00DD2B05">
              <w:rPr>
                <w:rFonts w:ascii="Daytona" w:hAnsi="Daytona"/>
                <w:bCs/>
                <w:caps w:val="0"/>
                <w:color w:val="0C547A"/>
              </w:rPr>
              <w:t>tous les amoureux du</w:t>
            </w:r>
            <w:r>
              <w:rPr>
                <w:rFonts w:ascii="Daytona" w:hAnsi="Daytona"/>
                <w:bCs/>
                <w:caps w:val="0"/>
                <w:color w:val="0C547A"/>
              </w:rPr>
              <w:t xml:space="preserve"> </w:t>
            </w:r>
            <w:r w:rsidRPr="00DD2B05">
              <w:rPr>
                <w:rFonts w:ascii="Daytona" w:hAnsi="Daytona"/>
                <w:bCs/>
                <w:caps w:val="0"/>
                <w:color w:val="0C547A"/>
              </w:rPr>
              <w:t>littoral</w:t>
            </w:r>
            <w:r>
              <w:rPr>
                <w:rFonts w:ascii="Daytona" w:hAnsi="Daytona"/>
                <w:bCs/>
                <w:caps w:val="0"/>
                <w:color w:val="0C547A"/>
              </w:rPr>
              <w:t xml:space="preserve"> </w:t>
            </w:r>
            <w:r w:rsidRPr="00DD2B05">
              <w:rPr>
                <w:rFonts w:ascii="Daytona" w:hAnsi="Daytona"/>
                <w:bCs/>
                <w:caps w:val="0"/>
                <w:color w:val="0C547A"/>
              </w:rPr>
              <w:t>breton contre l’ensemble des</w:t>
            </w:r>
            <w:r>
              <w:rPr>
                <w:rFonts w:ascii="Daytona" w:hAnsi="Daytona"/>
                <w:bCs/>
                <w:caps w:val="0"/>
                <w:color w:val="0C547A"/>
              </w:rPr>
              <w:t xml:space="preserve"> </w:t>
            </w:r>
            <w:r w:rsidRPr="00DD2B05">
              <w:rPr>
                <w:rFonts w:ascii="Daytona" w:hAnsi="Daytona"/>
                <w:bCs/>
                <w:caps w:val="0"/>
                <w:color w:val="0C547A"/>
              </w:rPr>
              <w:t>projets</w:t>
            </w:r>
            <w:r>
              <w:rPr>
                <w:rFonts w:ascii="Daytona" w:hAnsi="Daytona"/>
                <w:bCs/>
                <w:caps w:val="0"/>
                <w:color w:val="0C547A"/>
              </w:rPr>
              <w:t xml:space="preserve"> </w:t>
            </w:r>
            <w:r w:rsidRPr="00DD2B05">
              <w:rPr>
                <w:rFonts w:ascii="Daytona" w:hAnsi="Daytona"/>
                <w:bCs/>
                <w:caps w:val="0"/>
                <w:color w:val="0C547A"/>
              </w:rPr>
              <w:t>d'</w:t>
            </w:r>
            <w:r>
              <w:rPr>
                <w:rFonts w:ascii="Daytona" w:hAnsi="Daytona"/>
                <w:bCs/>
                <w:caps w:val="0"/>
                <w:color w:val="0C547A"/>
              </w:rPr>
              <w:t>é</w:t>
            </w:r>
            <w:r w:rsidRPr="00DD2B05">
              <w:rPr>
                <w:rFonts w:ascii="Daytona" w:hAnsi="Daytona"/>
                <w:bCs/>
                <w:caps w:val="0"/>
                <w:color w:val="0C547A"/>
              </w:rPr>
              <w:t>oliennes en mer</w:t>
            </w:r>
            <w:r>
              <w:rPr>
                <w:rFonts w:ascii="Daytona" w:hAnsi="Daytona"/>
                <w:bCs/>
                <w:caps w:val="0"/>
                <w:color w:val="0C547A"/>
              </w:rPr>
              <w:t>,</w:t>
            </w:r>
            <w:r w:rsidRPr="009C2EFD">
              <w:rPr>
                <w:rFonts w:ascii="Arial-BoldMT" w:hAnsi="Arial-BoldMT" w:cs="Arial-BoldMT"/>
                <w:b w:val="0"/>
                <w:bCs/>
                <w:caps w:val="0"/>
                <w:color w:val="FFFFFF"/>
              </w:rPr>
              <w:t xml:space="preserve"> </w:t>
            </w:r>
            <w:r w:rsidRPr="009C2EFD">
              <w:rPr>
                <w:rFonts w:ascii="Daytona" w:hAnsi="Daytona"/>
                <w:bCs/>
                <w:caps w:val="0"/>
                <w:color w:val="0C547A"/>
              </w:rPr>
              <w:t>dont le parc industriel</w:t>
            </w:r>
            <w:r>
              <w:rPr>
                <w:rFonts w:ascii="Daytona" w:hAnsi="Daytona"/>
                <w:bCs/>
                <w:caps w:val="0"/>
                <w:color w:val="0C547A"/>
              </w:rPr>
              <w:t xml:space="preserve"> </w:t>
            </w:r>
            <w:r w:rsidRPr="009C2EFD">
              <w:rPr>
                <w:rFonts w:ascii="Daytona" w:hAnsi="Daytona"/>
                <w:bCs/>
                <w:caps w:val="0"/>
                <w:color w:val="0C547A"/>
              </w:rPr>
              <w:t xml:space="preserve">offshore flottant </w:t>
            </w:r>
            <w:r w:rsidR="00B224C3">
              <w:rPr>
                <w:rFonts w:ascii="Daytona" w:hAnsi="Daytona"/>
                <w:bCs/>
                <w:caps w:val="0"/>
                <w:color w:val="0C547A"/>
              </w:rPr>
              <w:t>Br</w:t>
            </w:r>
            <w:r w:rsidRPr="009C2EFD">
              <w:rPr>
                <w:rFonts w:ascii="Daytona" w:hAnsi="Daytona"/>
                <w:bCs/>
                <w:caps w:val="0"/>
                <w:color w:val="0C547A"/>
              </w:rPr>
              <w:t xml:space="preserve">etagne-sud, et </w:t>
            </w:r>
            <w:r>
              <w:rPr>
                <w:rFonts w:ascii="Daytona" w:hAnsi="Daytona"/>
                <w:bCs/>
                <w:caps w:val="0"/>
                <w:color w:val="0C547A"/>
              </w:rPr>
              <w:t xml:space="preserve">défendre </w:t>
            </w:r>
            <w:r w:rsidRPr="009C2EFD">
              <w:rPr>
                <w:rFonts w:ascii="Daytona" w:hAnsi="Daytona"/>
                <w:bCs/>
                <w:caps w:val="0"/>
                <w:color w:val="0C547A"/>
              </w:rPr>
              <w:t>l’identit</w:t>
            </w:r>
            <w:r w:rsidR="009835A1">
              <w:rPr>
                <w:rFonts w:ascii="Daytona" w:hAnsi="Daytona"/>
                <w:bCs/>
                <w:caps w:val="0"/>
                <w:color w:val="0C547A"/>
              </w:rPr>
              <w:t>é</w:t>
            </w:r>
            <w:r>
              <w:rPr>
                <w:rFonts w:ascii="Daytona" w:hAnsi="Daytona"/>
                <w:bCs/>
                <w:caps w:val="0"/>
                <w:color w:val="0C547A"/>
              </w:rPr>
              <w:t xml:space="preserve"> </w:t>
            </w:r>
            <w:r w:rsidRPr="009C2EFD">
              <w:rPr>
                <w:rFonts w:ascii="Daytona" w:hAnsi="Daytona"/>
                <w:bCs/>
                <w:caps w:val="0"/>
                <w:color w:val="0C547A"/>
              </w:rPr>
              <w:t>marine</w:t>
            </w:r>
            <w:r w:rsidR="00210856">
              <w:rPr>
                <w:rFonts w:ascii="Daytona" w:hAnsi="Daytona"/>
                <w:bCs/>
                <w:caps w:val="0"/>
                <w:color w:val="0C547A"/>
              </w:rPr>
              <w:t>, l’environnement</w:t>
            </w:r>
            <w:r w:rsidRPr="009C2EFD">
              <w:rPr>
                <w:rFonts w:ascii="Daytona" w:hAnsi="Daytona"/>
                <w:bCs/>
                <w:caps w:val="0"/>
                <w:color w:val="0C547A"/>
              </w:rPr>
              <w:t xml:space="preserve"> et les activit</w:t>
            </w:r>
            <w:r w:rsidR="00210856">
              <w:rPr>
                <w:rFonts w:ascii="Daytona" w:hAnsi="Daytona"/>
                <w:bCs/>
                <w:caps w:val="0"/>
                <w:color w:val="0C547A"/>
              </w:rPr>
              <w:t>é</w:t>
            </w:r>
            <w:r w:rsidRPr="009C2EFD">
              <w:rPr>
                <w:rFonts w:ascii="Daytona" w:hAnsi="Daytona"/>
                <w:bCs/>
                <w:caps w:val="0"/>
                <w:color w:val="0C547A"/>
              </w:rPr>
              <w:t>s</w:t>
            </w:r>
            <w:r w:rsidR="00210856">
              <w:rPr>
                <w:rFonts w:ascii="Daytona" w:hAnsi="Daytona"/>
                <w:bCs/>
                <w:caps w:val="0"/>
                <w:color w:val="0C547A"/>
              </w:rPr>
              <w:t xml:space="preserve"> </w:t>
            </w:r>
            <w:r w:rsidRPr="009C2EFD">
              <w:rPr>
                <w:rFonts w:ascii="Daytona" w:hAnsi="Daytona"/>
                <w:bCs/>
                <w:caps w:val="0"/>
                <w:color w:val="0C547A"/>
              </w:rPr>
              <w:t xml:space="preserve">traditionnelles de la </w:t>
            </w:r>
            <w:r w:rsidR="00B224C3" w:rsidRPr="009C2EFD">
              <w:rPr>
                <w:rFonts w:ascii="Daytona" w:hAnsi="Daytona"/>
                <w:bCs/>
                <w:caps w:val="0"/>
                <w:color w:val="0C547A"/>
              </w:rPr>
              <w:t>B</w:t>
            </w:r>
            <w:r w:rsidR="00B224C3">
              <w:rPr>
                <w:rFonts w:ascii="Daytona" w:hAnsi="Daytona"/>
                <w:bCs/>
                <w:caps w:val="0"/>
                <w:color w:val="0C547A"/>
              </w:rPr>
              <w:t>retagne</w:t>
            </w:r>
            <w:r w:rsidR="00E72DE9">
              <w:rPr>
                <w:rFonts w:ascii="Daytona" w:hAnsi="Daytona"/>
                <w:bCs/>
                <w:caps w:val="0"/>
                <w:color w:val="0C547A"/>
              </w:rPr>
              <w:t>.</w:t>
            </w:r>
            <w:r w:rsidR="00CE63D0">
              <w:rPr>
                <w:rFonts w:ascii="Daytona" w:hAnsi="Daytona"/>
                <w:bCs/>
                <w:caps w:val="0"/>
                <w:color w:val="0C547A"/>
              </w:rPr>
              <w:t xml:space="preserve"> </w:t>
            </w:r>
          </w:p>
          <w:p w14:paraId="13112032" w14:textId="0DAF832D" w:rsidR="009708AD" w:rsidRPr="009708AD" w:rsidRDefault="00CE63D0" w:rsidP="00CE63D0">
            <w:pPr>
              <w:pStyle w:val="1-TITRE1"/>
              <w:ind w:right="555"/>
              <w:rPr>
                <w:rFonts w:ascii="Daytona" w:hAnsi="Daytona"/>
                <w:bCs/>
                <w:caps w:val="0"/>
                <w:color w:val="0C547A"/>
              </w:rPr>
            </w:pPr>
            <w:r>
              <w:rPr>
                <w:rFonts w:ascii="Daytona" w:hAnsi="Daytona"/>
                <w:bCs/>
                <w:caps w:val="0"/>
                <w:color w:val="0C547A"/>
              </w:rPr>
              <w:t>U</w:t>
            </w:r>
            <w:r w:rsidRPr="00CE63D0">
              <w:rPr>
                <w:rFonts w:ascii="Daytona" w:hAnsi="Daytona"/>
                <w:bCs/>
                <w:caps w:val="0"/>
                <w:color w:val="0C547A"/>
              </w:rPr>
              <w:t>n patrimoine que nous</w:t>
            </w:r>
            <w:r>
              <w:rPr>
                <w:rFonts w:ascii="Daytona" w:hAnsi="Daytona"/>
                <w:bCs/>
                <w:color w:val="0C547A"/>
              </w:rPr>
              <w:t xml:space="preserve"> </w:t>
            </w:r>
            <w:r w:rsidRPr="00CE63D0">
              <w:rPr>
                <w:rFonts w:ascii="Daytona" w:hAnsi="Daytona"/>
                <w:bCs/>
                <w:caps w:val="0"/>
                <w:color w:val="0C547A"/>
              </w:rPr>
              <w:t>voulons</w:t>
            </w:r>
            <w:r w:rsidR="007A1F27">
              <w:rPr>
                <w:rFonts w:ascii="Daytona" w:hAnsi="Daytona"/>
                <w:bCs/>
                <w:caps w:val="0"/>
                <w:color w:val="0C547A"/>
              </w:rPr>
              <w:t xml:space="preserve"> </w:t>
            </w:r>
            <w:r w:rsidRPr="00CE63D0">
              <w:rPr>
                <w:rFonts w:ascii="Daytona" w:hAnsi="Daytona"/>
                <w:bCs/>
                <w:caps w:val="0"/>
                <w:color w:val="0C547A"/>
              </w:rPr>
              <w:t>transmettre aux</w:t>
            </w:r>
            <w:r>
              <w:rPr>
                <w:rFonts w:ascii="Daytona" w:hAnsi="Daytona"/>
                <w:bCs/>
                <w:color w:val="0C547A"/>
              </w:rPr>
              <w:t xml:space="preserve"> </w:t>
            </w:r>
            <w:r w:rsidRPr="00CE63D0">
              <w:rPr>
                <w:rFonts w:ascii="Daytona" w:hAnsi="Daytona"/>
                <w:bCs/>
                <w:caps w:val="0"/>
                <w:color w:val="0C547A"/>
              </w:rPr>
              <w:t>générations futures</w:t>
            </w:r>
          </w:p>
        </w:tc>
        <w:tc>
          <w:tcPr>
            <w:tcW w:w="6231" w:type="dxa"/>
          </w:tcPr>
          <w:p w14:paraId="5A783E37" w14:textId="77777777" w:rsidR="007307B2" w:rsidRPr="008912D5" w:rsidRDefault="007307B2" w:rsidP="007307B2">
            <w:pPr>
              <w:pStyle w:val="1-TITRE1"/>
              <w:rPr>
                <w:rFonts w:ascii="Daytona" w:hAnsi="Daytona"/>
                <w:color w:val="0C547A"/>
              </w:rPr>
            </w:pPr>
            <w:r w:rsidRPr="008912D5">
              <w:rPr>
                <w:rFonts w:ascii="Daytona" w:hAnsi="Daytona"/>
                <w:color w:val="0C547A"/>
              </w:rPr>
              <w:t>Synthèse de la contribution</w:t>
            </w:r>
          </w:p>
          <w:sdt>
            <w:sdtPr>
              <w:rPr>
                <w:rFonts w:ascii="Daytona" w:eastAsia="Calibri" w:hAnsi="Daytona" w:cs="Arial"/>
                <w:kern w:val="0"/>
                <w:sz w:val="20"/>
                <w:szCs w:val="20"/>
                <w14:ligatures w14:val="none"/>
              </w:rPr>
              <w:id w:val="901801154"/>
              <w:placeholder>
                <w:docPart w:val="4C0CE5DA91274428A2C27A5BF240CAF8"/>
              </w:placeholder>
            </w:sdtPr>
            <w:sdtEndPr>
              <w:rPr>
                <w:rFonts w:eastAsiaTheme="minorHAnsi" w:cstheme="minorBidi"/>
                <w:kern w:val="2"/>
                <w:sz w:val="24"/>
                <w:szCs w:val="24"/>
                <w14:ligatures w14:val="standardContextual"/>
              </w:rPr>
            </w:sdtEndPr>
            <w:sdtContent>
              <w:p w14:paraId="139AD792" w14:textId="5CB89621" w:rsidR="00697A26" w:rsidRDefault="00EC12A3" w:rsidP="00EC12A3">
                <w:pPr>
                  <w:spacing w:after="0" w:line="240" w:lineRule="auto"/>
                  <w:jc w:val="both"/>
                  <w:rPr>
                    <w:rFonts w:ascii="Daytona" w:hAnsi="Daytona" w:cs="Times New Roman"/>
                    <w:color w:val="3D393C"/>
                    <w:sz w:val="20"/>
                    <w:szCs w:val="20"/>
                    <w:shd w:val="clear" w:color="auto" w:fill="FFFFFF"/>
                  </w:rPr>
                </w:pPr>
                <w:r w:rsidRPr="00312388">
                  <w:rPr>
                    <w:rFonts w:ascii="Daytona" w:hAnsi="Daytona" w:cs="Times New Roman"/>
                    <w:color w:val="3D393C"/>
                    <w:sz w:val="20"/>
                    <w:szCs w:val="20"/>
                    <w:shd w:val="clear" w:color="auto" w:fill="FFFFFF"/>
                  </w:rPr>
                  <w:t>PIEBIEM</w:t>
                </w:r>
                <w:r w:rsidR="0024446B">
                  <w:rPr>
                    <w:rFonts w:ascii="Daytona" w:hAnsi="Daytona" w:cs="Times New Roman"/>
                    <w:color w:val="3D393C"/>
                    <w:sz w:val="20"/>
                    <w:szCs w:val="20"/>
                    <w:shd w:val="clear" w:color="auto" w:fill="FFFFFF"/>
                  </w:rPr>
                  <w:t xml:space="preserve"> </w:t>
                </w:r>
                <w:r w:rsidRPr="00312388">
                  <w:rPr>
                    <w:rFonts w:ascii="Daytona" w:hAnsi="Daytona" w:cs="Times New Roman"/>
                    <w:color w:val="3D393C"/>
                    <w:sz w:val="20"/>
                    <w:szCs w:val="20"/>
                    <w:shd w:val="clear" w:color="auto" w:fill="FFFFFF"/>
                  </w:rPr>
                  <w:t>(Pr</w:t>
                </w:r>
                <w:r w:rsidR="008F18F7" w:rsidRPr="00312388">
                  <w:rPr>
                    <w:rFonts w:ascii="Daytona" w:hAnsi="Daytona" w:cs="Times New Roman"/>
                    <w:color w:val="3D393C"/>
                    <w:sz w:val="20"/>
                    <w:szCs w:val="20"/>
                    <w:shd w:val="clear" w:color="auto" w:fill="FFFFFF"/>
                  </w:rPr>
                  <w:t>é</w:t>
                </w:r>
                <w:r w:rsidRPr="00312388">
                  <w:rPr>
                    <w:rFonts w:ascii="Daytona" w:hAnsi="Daytona" w:cs="Times New Roman"/>
                    <w:color w:val="3D393C"/>
                    <w:sz w:val="20"/>
                    <w:szCs w:val="20"/>
                    <w:shd w:val="clear" w:color="auto" w:fill="FFFFFF"/>
                  </w:rPr>
                  <w:t>server l’</w:t>
                </w:r>
                <w:r w:rsidR="008F18F7" w:rsidRPr="00312388">
                  <w:rPr>
                    <w:rFonts w:ascii="Daytona" w:hAnsi="Daytona" w:cs="Times New Roman"/>
                    <w:color w:val="3D393C"/>
                    <w:sz w:val="20"/>
                    <w:szCs w:val="20"/>
                    <w:shd w:val="clear" w:color="auto" w:fill="FFFFFF"/>
                  </w:rPr>
                  <w:t>Identité</w:t>
                </w:r>
                <w:r w:rsidRPr="00312388">
                  <w:rPr>
                    <w:rFonts w:ascii="Daytona" w:hAnsi="Daytona" w:cs="Times New Roman"/>
                    <w:color w:val="3D393C"/>
                    <w:sz w:val="20"/>
                    <w:szCs w:val="20"/>
                    <w:shd w:val="clear" w:color="auto" w:fill="FFFFFF"/>
                  </w:rPr>
                  <w:t xml:space="preserve"> </w:t>
                </w:r>
                <w:r w:rsidRPr="00CE6363">
                  <w:rPr>
                    <w:rFonts w:ascii="Daytona" w:hAnsi="Daytona" w:cs="Times New Roman"/>
                    <w:color w:val="3D393C"/>
                    <w:sz w:val="20"/>
                    <w:szCs w:val="20"/>
                    <w:shd w:val="clear" w:color="auto" w:fill="FFFFFF"/>
                  </w:rPr>
                  <w:t>Environnementale</w:t>
                </w:r>
                <w:r w:rsidRPr="00312388">
                  <w:rPr>
                    <w:rFonts w:ascii="Daytona" w:hAnsi="Daytona" w:cs="Times New Roman"/>
                    <w:color w:val="3D393C"/>
                    <w:sz w:val="20"/>
                    <w:szCs w:val="20"/>
                    <w:shd w:val="clear" w:color="auto" w:fill="FFFFFF"/>
                  </w:rPr>
                  <w:t xml:space="preserve"> de la Bretagne sud et des Îles contre l’Eolien en Mer) a pour but de garantir la transmission aux générations futures de paysages, d'une nature et d'une biodiversité préservé</w:t>
                </w:r>
                <w:r w:rsidR="007D1D63">
                  <w:rPr>
                    <w:rFonts w:ascii="Daytona" w:hAnsi="Daytona" w:cs="Times New Roman"/>
                    <w:color w:val="3D393C"/>
                    <w:sz w:val="20"/>
                    <w:szCs w:val="20"/>
                    <w:shd w:val="clear" w:color="auto" w:fill="FFFFFF"/>
                  </w:rPr>
                  <w:t>e</w:t>
                </w:r>
                <w:r w:rsidRPr="00312388">
                  <w:rPr>
                    <w:rFonts w:ascii="Daytona" w:hAnsi="Daytona" w:cs="Times New Roman"/>
                    <w:color w:val="3D393C"/>
                    <w:sz w:val="20"/>
                    <w:szCs w:val="20"/>
                    <w:shd w:val="clear" w:color="auto" w:fill="FFFFFF"/>
                  </w:rPr>
                  <w:t>s, la préservation de la pêche</w:t>
                </w:r>
                <w:r w:rsidR="00807999" w:rsidRPr="00312388">
                  <w:rPr>
                    <w:rFonts w:ascii="Daytona" w:hAnsi="Daytona" w:cs="Times New Roman"/>
                    <w:color w:val="3D393C"/>
                    <w:sz w:val="20"/>
                    <w:szCs w:val="20"/>
                    <w:shd w:val="clear" w:color="auto" w:fill="FFFFFF"/>
                  </w:rPr>
                  <w:t xml:space="preserve"> et</w:t>
                </w:r>
                <w:r w:rsidR="00DA3D75" w:rsidRPr="00312388">
                  <w:rPr>
                    <w:rFonts w:ascii="Daytona" w:hAnsi="Daytona" w:cs="Times New Roman"/>
                    <w:color w:val="3D393C"/>
                    <w:sz w:val="20"/>
                    <w:szCs w:val="20"/>
                    <w:shd w:val="clear" w:color="auto" w:fill="FFFFFF"/>
                  </w:rPr>
                  <w:t xml:space="preserve"> du nautisme</w:t>
                </w:r>
                <w:r w:rsidRPr="00312388">
                  <w:rPr>
                    <w:rFonts w:ascii="Daytona" w:hAnsi="Daytona" w:cs="Times New Roman"/>
                    <w:color w:val="3D393C"/>
                    <w:sz w:val="20"/>
                    <w:szCs w:val="20"/>
                    <w:shd w:val="clear" w:color="auto" w:fill="FFFFFF"/>
                  </w:rPr>
                  <w:t>, mais aussi la défense économique des habitants</w:t>
                </w:r>
                <w:r w:rsidR="00502C00" w:rsidRPr="00312388">
                  <w:rPr>
                    <w:rFonts w:ascii="Daytona" w:hAnsi="Daytona" w:cs="Times New Roman"/>
                    <w:color w:val="3D393C"/>
                    <w:sz w:val="20"/>
                    <w:szCs w:val="20"/>
                    <w:shd w:val="clear" w:color="auto" w:fill="FFFFFF"/>
                  </w:rPr>
                  <w:t xml:space="preserve">, </w:t>
                </w:r>
                <w:r w:rsidRPr="00312388">
                  <w:rPr>
                    <w:rFonts w:ascii="Daytona" w:hAnsi="Daytona" w:cs="Times New Roman"/>
                    <w:color w:val="3D393C"/>
                    <w:sz w:val="20"/>
                    <w:szCs w:val="20"/>
                    <w:shd w:val="clear" w:color="auto" w:fill="FFFFFF"/>
                  </w:rPr>
                  <w:t>consommateurs, contribuables, artisans, industriels et des services publics contre les effets de l'éolien maritime.</w:t>
                </w:r>
                <w:r w:rsidR="006D025E">
                  <w:rPr>
                    <w:rFonts w:ascii="Daytona" w:hAnsi="Daytona" w:cs="Times New Roman"/>
                    <w:color w:val="3D393C"/>
                    <w:sz w:val="20"/>
                    <w:szCs w:val="20"/>
                    <w:shd w:val="clear" w:color="auto" w:fill="FFFFFF"/>
                  </w:rPr>
                  <w:t xml:space="preserve"> </w:t>
                </w:r>
                <w:r w:rsidRPr="00312388">
                  <w:rPr>
                    <w:rFonts w:ascii="Daytona" w:hAnsi="Daytona" w:cs="Times New Roman"/>
                    <w:color w:val="3D393C"/>
                    <w:sz w:val="20"/>
                    <w:szCs w:val="20"/>
                    <w:shd w:val="clear" w:color="auto" w:fill="FFFFFF"/>
                  </w:rPr>
                  <w:t>Nous souhaitons garantir une électricité abordable pour tous et une transition énergétique économiquement soutenable et socialement acceptable.</w:t>
                </w:r>
              </w:p>
              <w:p w14:paraId="287D7A22" w14:textId="0452E374" w:rsidR="00E40CEE" w:rsidRDefault="00EC12A3" w:rsidP="006D025E">
                <w:pPr>
                  <w:spacing w:after="0" w:line="240" w:lineRule="auto"/>
                  <w:jc w:val="both"/>
                  <w:rPr>
                    <w:rFonts w:ascii="Daytona" w:hAnsi="Daytona" w:cs="Times New Roman"/>
                    <w:color w:val="3D393C"/>
                    <w:sz w:val="20"/>
                    <w:szCs w:val="20"/>
                    <w:shd w:val="clear" w:color="auto" w:fill="FFFFFF"/>
                  </w:rPr>
                </w:pPr>
                <w:r w:rsidRPr="00312388">
                  <w:rPr>
                    <w:rFonts w:ascii="Daytona" w:hAnsi="Daytona" w:cs="Times New Roman"/>
                    <w:color w:val="3D393C"/>
                    <w:sz w:val="20"/>
                    <w:szCs w:val="20"/>
                    <w:shd w:val="clear" w:color="auto" w:fill="FFFFFF"/>
                  </w:rPr>
                  <w:t>Par conséquent, PIEBîEM entend alerter sur les coûts non maitrisés de l’éolien en mer, particulièrement de l’éolien flottant</w:t>
                </w:r>
                <w:r w:rsidR="006B1A56" w:rsidRPr="00312388">
                  <w:rPr>
                    <w:rFonts w:ascii="Daytona" w:hAnsi="Daytona" w:cs="Times New Roman"/>
                    <w:color w:val="3D393C"/>
                    <w:sz w:val="20"/>
                    <w:szCs w:val="20"/>
                    <w:shd w:val="clear" w:color="auto" w:fill="FFFFFF"/>
                  </w:rPr>
                  <w:t>,</w:t>
                </w:r>
                <w:r w:rsidRPr="00312388">
                  <w:rPr>
                    <w:rFonts w:ascii="Daytona" w:hAnsi="Daytona" w:cs="Times New Roman"/>
                    <w:color w:val="3D393C"/>
                    <w:sz w:val="20"/>
                    <w:szCs w:val="20"/>
                    <w:shd w:val="clear" w:color="auto" w:fill="FFFFFF"/>
                  </w:rPr>
                  <w:t xml:space="preserve"> et plus particulièrement sur le</w:t>
                </w:r>
                <w:r w:rsidR="00C547E3" w:rsidRPr="00312388">
                  <w:rPr>
                    <w:rFonts w:ascii="Daytona" w:hAnsi="Daytona" w:cs="Times New Roman"/>
                    <w:color w:val="3D393C"/>
                    <w:sz w:val="20"/>
                    <w:szCs w:val="20"/>
                    <w:shd w:val="clear" w:color="auto" w:fill="FFFFFF"/>
                  </w:rPr>
                  <w:t>s</w:t>
                </w:r>
                <w:r w:rsidRPr="00312388">
                  <w:rPr>
                    <w:rFonts w:ascii="Daytona" w:hAnsi="Daytona" w:cs="Times New Roman"/>
                    <w:color w:val="3D393C"/>
                    <w:sz w:val="20"/>
                    <w:szCs w:val="20"/>
                    <w:shd w:val="clear" w:color="auto" w:fill="FFFFFF"/>
                  </w:rPr>
                  <w:t xml:space="preserve"> coût</w:t>
                </w:r>
                <w:r w:rsidR="00C547E3" w:rsidRPr="00312388">
                  <w:rPr>
                    <w:rFonts w:ascii="Daytona" w:hAnsi="Daytona" w:cs="Times New Roman"/>
                    <w:color w:val="3D393C"/>
                    <w:sz w:val="20"/>
                    <w:szCs w:val="20"/>
                    <w:shd w:val="clear" w:color="auto" w:fill="FFFFFF"/>
                  </w:rPr>
                  <w:t>s</w:t>
                </w:r>
                <w:r w:rsidRPr="00312388">
                  <w:rPr>
                    <w:rFonts w:ascii="Daytona" w:hAnsi="Daytona" w:cs="Times New Roman"/>
                    <w:color w:val="3D393C"/>
                    <w:sz w:val="20"/>
                    <w:szCs w:val="20"/>
                    <w:shd w:val="clear" w:color="auto" w:fill="FFFFFF"/>
                  </w:rPr>
                  <w:t xml:space="preserve"> liés à l’investissement dans les ports et le fort risque d</w:t>
                </w:r>
                <w:r w:rsidR="00465E72" w:rsidRPr="00312388">
                  <w:rPr>
                    <w:rFonts w:ascii="Daytona" w:hAnsi="Daytona" w:cs="Times New Roman"/>
                    <w:color w:val="3D393C"/>
                    <w:sz w:val="20"/>
                    <w:szCs w:val="20"/>
                    <w:shd w:val="clear" w:color="auto" w:fill="FFFFFF"/>
                  </w:rPr>
                  <w:t xml:space="preserve">e coûts </w:t>
                </w:r>
                <w:r w:rsidRPr="00312388">
                  <w:rPr>
                    <w:rFonts w:ascii="Daytona" w:hAnsi="Daytona" w:cs="Times New Roman"/>
                    <w:color w:val="3D393C"/>
                    <w:sz w:val="20"/>
                    <w:szCs w:val="20"/>
                    <w:shd w:val="clear" w:color="auto" w:fill="FFFFFF"/>
                  </w:rPr>
                  <w:t>échoué</w:t>
                </w:r>
                <w:r w:rsidR="00465E72" w:rsidRPr="00312388">
                  <w:rPr>
                    <w:rFonts w:ascii="Daytona" w:hAnsi="Daytona" w:cs="Times New Roman"/>
                    <w:color w:val="3D393C"/>
                    <w:sz w:val="20"/>
                    <w:szCs w:val="20"/>
                    <w:shd w:val="clear" w:color="auto" w:fill="FFFFFF"/>
                  </w:rPr>
                  <w:t>s</w:t>
                </w:r>
                <w:r w:rsidRPr="00312388">
                  <w:rPr>
                    <w:rFonts w:ascii="Daytona" w:hAnsi="Daytona" w:cs="Times New Roman"/>
                    <w:color w:val="3D393C"/>
                    <w:sz w:val="20"/>
                    <w:szCs w:val="20"/>
                    <w:shd w:val="clear" w:color="auto" w:fill="FFFFFF"/>
                  </w:rPr>
                  <w:t>, si, comme il est probable, de nombreux projets éolien</w:t>
                </w:r>
                <w:r w:rsidR="007D1D63">
                  <w:rPr>
                    <w:rFonts w:ascii="Daytona" w:hAnsi="Daytona" w:cs="Times New Roman"/>
                    <w:color w:val="3D393C"/>
                    <w:sz w:val="20"/>
                    <w:szCs w:val="20"/>
                    <w:shd w:val="clear" w:color="auto" w:fill="FFFFFF"/>
                  </w:rPr>
                  <w:t>s</w:t>
                </w:r>
                <w:r w:rsidRPr="00312388">
                  <w:rPr>
                    <w:rFonts w:ascii="Daytona" w:hAnsi="Daytona" w:cs="Times New Roman"/>
                    <w:color w:val="3D393C"/>
                    <w:sz w:val="20"/>
                    <w:szCs w:val="20"/>
                    <w:shd w:val="clear" w:color="auto" w:fill="FFFFFF"/>
                  </w:rPr>
                  <w:t xml:space="preserve"> en mer, en particulier </w:t>
                </w:r>
                <w:r w:rsidR="00465E72" w:rsidRPr="00312388">
                  <w:rPr>
                    <w:rFonts w:ascii="Daytona" w:hAnsi="Daytona" w:cs="Times New Roman"/>
                    <w:color w:val="3D393C"/>
                    <w:sz w:val="20"/>
                    <w:szCs w:val="20"/>
                    <w:shd w:val="clear" w:color="auto" w:fill="FFFFFF"/>
                  </w:rPr>
                  <w:t>pour l’</w:t>
                </w:r>
                <w:r w:rsidRPr="00312388">
                  <w:rPr>
                    <w:rFonts w:ascii="Daytona" w:hAnsi="Daytona" w:cs="Times New Roman"/>
                    <w:color w:val="3D393C"/>
                    <w:sz w:val="20"/>
                    <w:szCs w:val="20"/>
                    <w:shd w:val="clear" w:color="auto" w:fill="FFFFFF"/>
                  </w:rPr>
                  <w:t>éolien flottant</w:t>
                </w:r>
                <w:r w:rsidR="007B5CB9">
                  <w:rPr>
                    <w:rFonts w:ascii="Daytona" w:hAnsi="Daytona" w:cs="Times New Roman"/>
                    <w:color w:val="3D393C"/>
                    <w:sz w:val="20"/>
                    <w:szCs w:val="20"/>
                    <w:shd w:val="clear" w:color="auto" w:fill="FFFFFF"/>
                  </w:rPr>
                  <w:t>,</w:t>
                </w:r>
                <w:r w:rsidRPr="00312388">
                  <w:rPr>
                    <w:rFonts w:ascii="Daytona" w:hAnsi="Daytona" w:cs="Times New Roman"/>
                    <w:color w:val="3D393C"/>
                    <w:sz w:val="20"/>
                    <w:szCs w:val="20"/>
                    <w:shd w:val="clear" w:color="auto" w:fill="FFFFFF"/>
                  </w:rPr>
                  <w:t xml:space="preserve"> ne voyaient finalement pas le jour. </w:t>
                </w:r>
              </w:p>
              <w:p w14:paraId="50CE25E9" w14:textId="05019D6C" w:rsidR="00F34389" w:rsidRPr="00F34389" w:rsidRDefault="00F34389" w:rsidP="00F34389">
                <w:pPr>
                  <w:spacing w:after="0" w:line="240" w:lineRule="auto"/>
                  <w:jc w:val="both"/>
                  <w:rPr>
                    <w:rFonts w:ascii="Daytona" w:hAnsi="Daytona" w:cs="Times New Roman"/>
                    <w:i/>
                    <w:iCs/>
                    <w:sz w:val="20"/>
                    <w:szCs w:val="20"/>
                    <w:shd w:val="clear" w:color="auto" w:fill="FFFFFF"/>
                  </w:rPr>
                </w:pPr>
                <w:r w:rsidRPr="00F34389">
                  <w:rPr>
                    <w:rFonts w:ascii="Daytona" w:hAnsi="Daytona" w:cs="Times New Roman"/>
                    <w:i/>
                    <w:iCs/>
                    <w:color w:val="3D393C"/>
                    <w:sz w:val="20"/>
                    <w:szCs w:val="20"/>
                    <w:shd w:val="clear" w:color="auto" w:fill="FFFFFF"/>
                  </w:rPr>
                  <w:t>1)</w:t>
                </w:r>
                <w:r>
                  <w:rPr>
                    <w:rFonts w:ascii="Daytona" w:hAnsi="Daytona" w:cs="Times New Roman"/>
                    <w:i/>
                    <w:iCs/>
                    <w:color w:val="3D393C"/>
                    <w:sz w:val="20"/>
                    <w:szCs w:val="20"/>
                    <w:shd w:val="clear" w:color="auto" w:fill="FFFFFF"/>
                  </w:rPr>
                  <w:t xml:space="preserve"> </w:t>
                </w:r>
                <w:r w:rsidR="00375591" w:rsidRPr="00F34389">
                  <w:rPr>
                    <w:rFonts w:ascii="Daytona" w:hAnsi="Daytona" w:cs="Times New Roman"/>
                    <w:i/>
                    <w:iCs/>
                    <w:color w:val="3D393C"/>
                    <w:sz w:val="20"/>
                    <w:szCs w:val="20"/>
                    <w:shd w:val="clear" w:color="auto" w:fill="FFFFFF"/>
                  </w:rPr>
                  <w:t>L’</w:t>
                </w:r>
                <w:r w:rsidR="00A8102F" w:rsidRPr="00F34389">
                  <w:rPr>
                    <w:rFonts w:ascii="Daytona" w:hAnsi="Daytona" w:cs="Times New Roman"/>
                    <w:i/>
                    <w:iCs/>
                    <w:color w:val="3D393C"/>
                    <w:sz w:val="20"/>
                    <w:szCs w:val="20"/>
                    <w:shd w:val="clear" w:color="auto" w:fill="FFFFFF"/>
                  </w:rPr>
                  <w:t>éolien en mer</w:t>
                </w:r>
                <w:r w:rsidR="00375591" w:rsidRPr="00F34389">
                  <w:rPr>
                    <w:rFonts w:ascii="Daytona" w:hAnsi="Daytona" w:cs="Times New Roman"/>
                    <w:i/>
                    <w:iCs/>
                    <w:color w:val="3D393C"/>
                    <w:sz w:val="20"/>
                    <w:szCs w:val="20"/>
                    <w:shd w:val="clear" w:color="auto" w:fill="FFFFFF"/>
                  </w:rPr>
                  <w:t xml:space="preserve">, des difficultés structurelles </w:t>
                </w:r>
                <w:r w:rsidR="00A8102F" w:rsidRPr="00F34389">
                  <w:rPr>
                    <w:rFonts w:ascii="Daytona" w:hAnsi="Daytona" w:cs="Times New Roman"/>
                    <w:i/>
                    <w:iCs/>
                    <w:color w:val="3D393C"/>
                    <w:sz w:val="20"/>
                    <w:szCs w:val="20"/>
                    <w:shd w:val="clear" w:color="auto" w:fill="FFFFFF"/>
                  </w:rPr>
                  <w:t xml:space="preserve">- 2) </w:t>
                </w:r>
                <w:r w:rsidR="00ED2314" w:rsidRPr="00F34389">
                  <w:rPr>
                    <w:rFonts w:ascii="Daytona" w:hAnsi="Daytona" w:cs="Times New Roman"/>
                    <w:i/>
                    <w:iCs/>
                    <w:color w:val="3D393C"/>
                    <w:sz w:val="20"/>
                    <w:szCs w:val="20"/>
                    <w:shd w:val="clear" w:color="auto" w:fill="FFFFFF"/>
                  </w:rPr>
                  <w:t>L</w:t>
                </w:r>
                <w:r w:rsidR="00A8102F" w:rsidRPr="00F34389">
                  <w:rPr>
                    <w:rFonts w:ascii="Daytona" w:hAnsi="Daytona" w:cs="Times New Roman"/>
                    <w:i/>
                    <w:iCs/>
                    <w:color w:val="3D393C"/>
                    <w:sz w:val="20"/>
                    <w:szCs w:val="20"/>
                    <w:shd w:val="clear" w:color="auto" w:fill="FFFFFF"/>
                  </w:rPr>
                  <w:t xml:space="preserve">es difficultés spécifiques de l’éolien flottant - 3) Commission d’Enquête sénatoriale sur le coût de l’électricité : l’éolien en mer, un pari très risqué - 4) Explosion des prix négatifs : </w:t>
                </w:r>
                <w:r w:rsidR="000F4CCB" w:rsidRPr="00F34389">
                  <w:rPr>
                    <w:rFonts w:ascii="Daytona" w:hAnsi="Daytona" w:cs="Times New Roman"/>
                    <w:i/>
                    <w:iCs/>
                    <w:color w:val="3D393C"/>
                    <w:sz w:val="20"/>
                    <w:szCs w:val="20"/>
                    <w:shd w:val="clear" w:color="auto" w:fill="FFFFFF"/>
                  </w:rPr>
                  <w:t>un</w:t>
                </w:r>
                <w:r w:rsidR="00A8102F" w:rsidRPr="00F34389">
                  <w:rPr>
                    <w:rFonts w:ascii="Daytona" w:hAnsi="Daytona" w:cs="Times New Roman"/>
                    <w:i/>
                    <w:iCs/>
                    <w:color w:val="3D393C"/>
                    <w:sz w:val="20"/>
                    <w:szCs w:val="20"/>
                    <w:shd w:val="clear" w:color="auto" w:fill="FFFFFF"/>
                  </w:rPr>
                  <w:t xml:space="preserve"> modèle économique intenable - 5) </w:t>
                </w:r>
                <w:r w:rsidR="00C10F83" w:rsidRPr="00F34389">
                  <w:rPr>
                    <w:rFonts w:ascii="Daytona" w:hAnsi="Daytona" w:cs="Times New Roman"/>
                    <w:i/>
                    <w:iCs/>
                    <w:color w:val="3D393C"/>
                    <w:sz w:val="20"/>
                    <w:szCs w:val="20"/>
                    <w:shd w:val="clear" w:color="auto" w:fill="FFFFFF"/>
                  </w:rPr>
                  <w:t xml:space="preserve">Fin </w:t>
                </w:r>
                <w:r w:rsidR="00A8102F" w:rsidRPr="00F34389">
                  <w:rPr>
                    <w:rFonts w:ascii="Daytona" w:hAnsi="Daytona" w:cs="Times New Roman"/>
                    <w:i/>
                    <w:iCs/>
                    <w:color w:val="3D393C"/>
                    <w:sz w:val="20"/>
                    <w:szCs w:val="20"/>
                    <w:shd w:val="clear" w:color="auto" w:fill="FFFFFF"/>
                  </w:rPr>
                  <w:t>de</w:t>
                </w:r>
                <w:r w:rsidR="002209CC" w:rsidRPr="00F34389">
                  <w:rPr>
                    <w:rFonts w:ascii="Daytona" w:hAnsi="Daytona" w:cs="Times New Roman"/>
                    <w:i/>
                    <w:iCs/>
                    <w:color w:val="3D393C"/>
                    <w:sz w:val="20"/>
                    <w:szCs w:val="20"/>
                    <w:shd w:val="clear" w:color="auto" w:fill="FFFFFF"/>
                  </w:rPr>
                  <w:t>s privilèges</w:t>
                </w:r>
                <w:r w:rsidR="007B5CB9" w:rsidRPr="00F34389">
                  <w:rPr>
                    <w:rFonts w:ascii="Daytona" w:hAnsi="Daytona" w:cs="Times New Roman"/>
                    <w:i/>
                    <w:iCs/>
                    <w:color w:val="3D393C"/>
                    <w:sz w:val="20"/>
                    <w:szCs w:val="20"/>
                    <w:shd w:val="clear" w:color="auto" w:fill="FFFFFF"/>
                  </w:rPr>
                  <w:t xml:space="preserve"> </w:t>
                </w:r>
                <w:r w:rsidR="00A8102F" w:rsidRPr="00F34389">
                  <w:rPr>
                    <w:rFonts w:ascii="Daytona" w:hAnsi="Daytona" w:cs="Times New Roman"/>
                    <w:i/>
                    <w:iCs/>
                    <w:color w:val="3D393C"/>
                    <w:sz w:val="20"/>
                    <w:szCs w:val="20"/>
                    <w:shd w:val="clear" w:color="auto" w:fill="FFFFFF"/>
                  </w:rPr>
                  <w:t>pour les Energies Fatales Intermittentes</w:t>
                </w:r>
                <w:r w:rsidR="00A8102F" w:rsidRPr="00F34389">
                  <w:rPr>
                    <w:rFonts w:ascii="Daytona" w:hAnsi="Daytona" w:cs="Times New Roman"/>
                    <w:i/>
                    <w:iCs/>
                    <w:sz w:val="20"/>
                    <w:szCs w:val="20"/>
                    <w:shd w:val="clear" w:color="auto" w:fill="FFFFFF"/>
                  </w:rPr>
                  <w:t xml:space="preserve"> - </w:t>
                </w:r>
                <w:r w:rsidR="00CB26A0" w:rsidRPr="00F34389">
                  <w:rPr>
                    <w:rFonts w:ascii="Daytona" w:hAnsi="Daytona" w:cs="Times New Roman"/>
                    <w:i/>
                    <w:iCs/>
                    <w:sz w:val="20"/>
                    <w:szCs w:val="20"/>
                    <w:shd w:val="clear" w:color="auto" w:fill="FFFFFF"/>
                  </w:rPr>
                  <w:t>6) La demande d’électricité révisée à la baisse d’ici 2035</w:t>
                </w:r>
                <w:r w:rsidR="00CE6363" w:rsidRPr="00F34389">
                  <w:rPr>
                    <w:rFonts w:ascii="Daytona" w:hAnsi="Daytona" w:cs="Times New Roman"/>
                    <w:i/>
                    <w:iCs/>
                    <w:sz w:val="20"/>
                    <w:szCs w:val="20"/>
                    <w:shd w:val="clear" w:color="auto" w:fill="FFFFFF"/>
                  </w:rPr>
                  <w:t>.</w:t>
                </w:r>
              </w:p>
              <w:p w14:paraId="1B0D82EE" w14:textId="77777777" w:rsidR="00F34389" w:rsidRDefault="00F34389" w:rsidP="0024446B">
                <w:pPr>
                  <w:jc w:val="both"/>
                  <w:rPr>
                    <w:rFonts w:ascii="Daytona" w:hAnsi="Daytona" w:cs="Times New Roman"/>
                    <w:color w:val="3D393C"/>
                    <w:sz w:val="20"/>
                    <w:szCs w:val="20"/>
                    <w:shd w:val="clear" w:color="auto" w:fill="FFFFFF"/>
                  </w:rPr>
                </w:pPr>
              </w:p>
              <w:p w14:paraId="7E1AB9FD" w14:textId="0D51ED69" w:rsidR="00BF40C0" w:rsidRPr="00312388" w:rsidRDefault="00127B5B" w:rsidP="0024446B">
                <w:pPr>
                  <w:jc w:val="both"/>
                  <w:rPr>
                    <w:rFonts w:ascii="Daytona" w:hAnsi="Daytona"/>
                    <w:sz w:val="20"/>
                    <w:szCs w:val="20"/>
                    <w:shd w:val="clear" w:color="auto" w:fill="FFFFFF"/>
                  </w:rPr>
                </w:pPr>
                <w:r w:rsidRPr="00312388">
                  <w:rPr>
                    <w:rFonts w:ascii="Daytona" w:hAnsi="Daytona" w:cs="Times New Roman"/>
                    <w:color w:val="3D393C"/>
                    <w:sz w:val="20"/>
                    <w:szCs w:val="20"/>
                    <w:shd w:val="clear" w:color="auto" w:fill="FFFFFF"/>
                  </w:rPr>
                  <w:t>Pour toutes ces raisons, PIEBÎEM estime que les risques de coûts échoués dans l’aménagement des ports sont très importants et insoutenables et appelle à un moratoire.</w:t>
                </w:r>
              </w:p>
              <w:p w14:paraId="63247333" w14:textId="681D91E4" w:rsidR="007307B2" w:rsidRPr="00127B5B" w:rsidRDefault="00000000" w:rsidP="00127B5B">
                <w:pPr>
                  <w:jc w:val="both"/>
                  <w:rPr>
                    <w:rFonts w:ascii="Times New Roman" w:hAnsi="Times New Roman" w:cs="Times New Roman"/>
                  </w:rPr>
                </w:pPr>
              </w:p>
            </w:sdtContent>
          </w:sdt>
        </w:tc>
      </w:tr>
    </w:tbl>
    <w:p w14:paraId="562E01A8" w14:textId="77777777" w:rsidR="00872414" w:rsidRDefault="00872414" w:rsidP="00F4265C">
      <w:pPr>
        <w:pStyle w:val="2-TITRE2"/>
        <w:rPr>
          <w:color w:val="0C547A"/>
        </w:rPr>
        <w:sectPr w:rsidR="00872414" w:rsidSect="007307B2">
          <w:headerReference w:type="default" r:id="rId8"/>
          <w:footerReference w:type="default" r:id="rId9"/>
          <w:headerReference w:type="first" r:id="rId10"/>
          <w:type w:val="continuous"/>
          <w:pgSz w:w="11906" w:h="16838"/>
          <w:pgMar w:top="1417" w:right="1417" w:bottom="1417" w:left="1417" w:header="708" w:footer="1474" w:gutter="0"/>
          <w:cols w:space="708"/>
          <w:docGrid w:linePitch="360"/>
        </w:sectPr>
      </w:pPr>
    </w:p>
    <w:p w14:paraId="1171B35D" w14:textId="64856BEF" w:rsidR="00872414" w:rsidRPr="0040555B" w:rsidRDefault="00872414" w:rsidP="0040555B">
      <w:pPr>
        <w:pStyle w:val="5-TEXTENORMAL"/>
        <w:sectPr w:rsidR="00872414" w:rsidRPr="0040555B" w:rsidSect="00872414">
          <w:type w:val="continuous"/>
          <w:pgSz w:w="11906" w:h="16838"/>
          <w:pgMar w:top="1417" w:right="1417" w:bottom="1417" w:left="1417" w:header="708" w:footer="2656" w:gutter="0"/>
          <w:cols w:num="2" w:space="708"/>
          <w:docGrid w:linePitch="360"/>
        </w:sectPr>
      </w:pPr>
    </w:p>
    <w:sdt>
      <w:sdtPr>
        <w:rPr>
          <w:rFonts w:ascii="Daytona" w:hAnsi="Daytona" w:cs="Arial"/>
          <w:color w:val="000000" w:themeColor="text1"/>
          <w:sz w:val="20"/>
          <w:szCs w:val="20"/>
        </w:rPr>
        <w:id w:val="-737096111"/>
        <w:placeholder>
          <w:docPart w:val="2887B1D340B64DDDA89C51D1107FEE32"/>
        </w:placeholder>
      </w:sdtPr>
      <w:sdtEndPr>
        <w:rPr>
          <w:rFonts w:ascii="Arial" w:hAnsi="Arial"/>
          <w:sz w:val="24"/>
          <w:szCs w:val="24"/>
        </w:rPr>
      </w:sdtEndPr>
      <w:sdtContent>
        <w:p w14:paraId="0B46C675" w14:textId="77777777" w:rsidR="00DF336D" w:rsidRPr="00CB0B60" w:rsidRDefault="00DF336D" w:rsidP="00DF336D">
          <w:pPr>
            <w:rPr>
              <w:rFonts w:ascii="Daytona" w:hAnsi="Daytona" w:cs="Times New Roman"/>
              <w:b/>
              <w:bCs/>
              <w:sz w:val="20"/>
              <w:szCs w:val="20"/>
              <w:shd w:val="clear" w:color="auto" w:fill="FFFFFF"/>
            </w:rPr>
          </w:pPr>
          <w:r w:rsidRPr="00CB0B60">
            <w:rPr>
              <w:rFonts w:ascii="Daytona" w:hAnsi="Daytona" w:cs="Times New Roman"/>
              <w:b/>
              <w:bCs/>
              <w:sz w:val="20"/>
              <w:szCs w:val="20"/>
              <w:shd w:val="clear" w:color="auto" w:fill="FFFFFF"/>
            </w:rPr>
            <w:t xml:space="preserve">1) Les difficultés de l’éolien en mer ne sont pas conjoncturelles mais structurelles </w:t>
          </w:r>
        </w:p>
        <w:p w14:paraId="35381FDE" w14:textId="7126C0E3"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L’année 2023 a été, pour l’éolien en mer, une longue litanie d’appels d'offres infructueux (UK, Allemagne, USA,) de renonciations de contrats, ou de demandes pressantes de renégociations, de pertes records des industriels impliqués. En 2024, les appels d‘offre reprennent, mais à quels coûts : USA : 75-149 $/MWh pour l’éolien posé, 123 - 278 $/MWh pour l'éolien flottant ; Italie - éolien flottant à 185€/MWh., avec des éoliennes chinoises et l'implantation de fabricants chinois ; Royaume-Uni : éolien flottant à 230 € /MWh. Nous sommes très loin des bases sur lesquelles ont été décidé ces programmes.</w:t>
          </w:r>
        </w:p>
        <w:p w14:paraId="452B4550" w14:textId="77777777" w:rsidR="00DF336D" w:rsidRPr="00CB0B60" w:rsidRDefault="00DF336D" w:rsidP="00DF336D">
          <w:pPr>
            <w:spacing w:after="0" w:line="240" w:lineRule="auto"/>
            <w:jc w:val="both"/>
            <w:rPr>
              <w:rFonts w:ascii="Daytona" w:hAnsi="Daytona" w:cs="Times New Roman"/>
              <w:b/>
              <w:bCs/>
              <w:color w:val="3D393C"/>
              <w:sz w:val="20"/>
              <w:szCs w:val="20"/>
              <w:shd w:val="clear" w:color="auto" w:fill="FFFFFF"/>
            </w:rPr>
          </w:pPr>
        </w:p>
        <w:p w14:paraId="280EFAB6" w14:textId="7916AE26"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 xml:space="preserve">Ce retour partiel à la réalité montre, s’il en était encore besoin, qu'il y a eu beaucoup de mensonges et d'illusions sur la réalité des coûts de l'éolien en mer. Encore faut-il constater que les tarifs de ces appels d’offre ne reflètent que les coûts d’investissement, de production et une certaine marge, et qu’ils sont </w:t>
          </w:r>
          <w:r w:rsidRPr="00CB0B60">
            <w:rPr>
              <w:rFonts w:ascii="Daytona" w:hAnsi="Daytona" w:cs="Times New Roman"/>
              <w:b/>
              <w:bCs/>
              <w:i/>
              <w:iCs/>
              <w:color w:val="3D393C"/>
              <w:sz w:val="20"/>
              <w:szCs w:val="20"/>
              <w:shd w:val="clear" w:color="auto" w:fill="FFFFFF"/>
            </w:rPr>
            <w:t>très loin des coûts totaux</w:t>
          </w:r>
          <w:r w:rsidRPr="00CB0B60">
            <w:rPr>
              <w:rFonts w:ascii="Daytona" w:hAnsi="Daytona" w:cs="Times New Roman"/>
              <w:color w:val="3D393C"/>
              <w:sz w:val="20"/>
              <w:szCs w:val="20"/>
              <w:shd w:val="clear" w:color="auto" w:fill="FFFFFF"/>
            </w:rPr>
            <w:t>. Il faut en effet y ajouter les coûts d’extension et de stabilisation du réseau, de stockage, les coûts de profil (périodes de production à perte voire à prix négatifs, de plus en plus nombreuses au fur et à mesure que le pourcentage de productions fatales augmente) et les externalités négatives sur les moyens de production pilotables (notamment l’utilisation du nucléaire en suivi de charge de la production renouvelable, particulièrement erratique avec de fortes variations pour l’éolien en mer).</w:t>
          </w:r>
        </w:p>
        <w:p w14:paraId="61B4DA21"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p>
        <w:p w14:paraId="7220FECC"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 xml:space="preserve">A cela s'ajoutent de </w:t>
          </w:r>
          <w:r w:rsidRPr="00CB0B60">
            <w:rPr>
              <w:rFonts w:ascii="Daytona" w:hAnsi="Daytona" w:cs="Times New Roman"/>
              <w:b/>
              <w:bCs/>
              <w:color w:val="3D393C"/>
              <w:sz w:val="20"/>
              <w:szCs w:val="20"/>
              <w:shd w:val="clear" w:color="auto" w:fill="FFFFFF"/>
            </w:rPr>
            <w:t>fortes incertitudes techniques,</w:t>
          </w:r>
          <w:r w:rsidRPr="00CB0B60">
            <w:rPr>
              <w:rFonts w:ascii="Daytona" w:hAnsi="Daytona" w:cs="Times New Roman"/>
              <w:color w:val="3D393C"/>
              <w:sz w:val="20"/>
              <w:szCs w:val="20"/>
              <w:shd w:val="clear" w:color="auto" w:fill="FFFFFF"/>
            </w:rPr>
            <w:t xml:space="preserve"> dont par exemple la </w:t>
          </w:r>
          <w:r w:rsidRPr="00CB0B60">
            <w:rPr>
              <w:rFonts w:ascii="Daytona" w:hAnsi="Daytona" w:cs="Times New Roman"/>
              <w:b/>
              <w:bCs/>
              <w:color w:val="3D393C"/>
              <w:sz w:val="20"/>
              <w:szCs w:val="20"/>
              <w:shd w:val="clear" w:color="auto" w:fill="FFFFFF"/>
            </w:rPr>
            <w:t>surestimation de la durée de vie</w:t>
          </w:r>
          <w:r w:rsidRPr="00CB0B60">
            <w:rPr>
              <w:rFonts w:ascii="Daytona" w:hAnsi="Daytona" w:cs="Times New Roman"/>
              <w:color w:val="3D393C"/>
              <w:sz w:val="20"/>
              <w:szCs w:val="20"/>
              <w:shd w:val="clear" w:color="auto" w:fill="FFFFFF"/>
            </w:rPr>
            <w:t xml:space="preserve"> des installations en milieu marin et celle de la production (</w:t>
          </w:r>
          <w:r w:rsidRPr="00CB0B60">
            <w:rPr>
              <w:rFonts w:ascii="Daytona" w:hAnsi="Daytona" w:cs="Times New Roman"/>
              <w:b/>
              <w:bCs/>
              <w:color w:val="3D393C"/>
              <w:sz w:val="20"/>
              <w:szCs w:val="20"/>
              <w:shd w:val="clear" w:color="auto" w:fill="FFFFFF"/>
            </w:rPr>
            <w:t>facteur de charge</w:t>
          </w:r>
          <w:r w:rsidRPr="00CB0B60">
            <w:rPr>
              <w:rFonts w:ascii="Daytona" w:hAnsi="Daytona" w:cs="Times New Roman"/>
              <w:color w:val="3D393C"/>
              <w:sz w:val="20"/>
              <w:szCs w:val="20"/>
              <w:shd w:val="clear" w:color="auto" w:fill="FFFFFF"/>
            </w:rPr>
            <w:t xml:space="preserve">), les problèmes d'usure des câbles, une </w:t>
          </w:r>
          <w:r w:rsidRPr="00CB0B60">
            <w:rPr>
              <w:rFonts w:ascii="Daytona" w:hAnsi="Daytona" w:cs="Times New Roman"/>
              <w:b/>
              <w:bCs/>
              <w:color w:val="3D393C"/>
              <w:sz w:val="20"/>
              <w:szCs w:val="20"/>
              <w:shd w:val="clear" w:color="auto" w:fill="FFFFFF"/>
            </w:rPr>
            <w:t>course mal maitrisée à la puissance et à la taille des éoliennes dont s’inquiètent les assureurs</w:t>
          </w:r>
          <w:r w:rsidRPr="00CB0B60">
            <w:rPr>
              <w:rFonts w:ascii="Daytona" w:hAnsi="Daytona" w:cs="Times New Roman"/>
              <w:color w:val="3D393C"/>
              <w:sz w:val="20"/>
              <w:szCs w:val="20"/>
              <w:shd w:val="clear" w:color="auto" w:fill="FFFFFF"/>
            </w:rPr>
            <w:t xml:space="preserve">. La France en a connu une conséquence emblématique </w:t>
          </w:r>
          <w:r w:rsidRPr="00CB0B60">
            <w:rPr>
              <w:rFonts w:ascii="Daytona" w:hAnsi="Daytona" w:cs="Times New Roman"/>
              <w:b/>
              <w:bCs/>
              <w:color w:val="3D393C"/>
              <w:sz w:val="20"/>
              <w:szCs w:val="20"/>
              <w:shd w:val="clear" w:color="auto" w:fill="FFFFFF"/>
            </w:rPr>
            <w:t xml:space="preserve">avec le plan social annoncé par General Electric- </w:t>
          </w:r>
          <w:proofErr w:type="spellStart"/>
          <w:r w:rsidRPr="00CB0B60">
            <w:rPr>
              <w:rFonts w:ascii="Daytona" w:hAnsi="Daytona" w:cs="Times New Roman"/>
              <w:b/>
              <w:bCs/>
              <w:color w:val="3D393C"/>
              <w:sz w:val="20"/>
              <w:szCs w:val="20"/>
              <w:shd w:val="clear" w:color="auto" w:fill="FFFFFF"/>
            </w:rPr>
            <w:t>Vernova</w:t>
          </w:r>
          <w:proofErr w:type="spellEnd"/>
          <w:r w:rsidRPr="00CB0B60">
            <w:rPr>
              <w:rFonts w:ascii="Daytona" w:hAnsi="Daytona" w:cs="Times New Roman"/>
              <w:b/>
              <w:bCs/>
              <w:color w:val="3D393C"/>
              <w:sz w:val="20"/>
              <w:szCs w:val="20"/>
              <w:shd w:val="clear" w:color="auto" w:fill="FFFFFF"/>
            </w:rPr>
            <w:t xml:space="preserve"> </w:t>
          </w:r>
          <w:r w:rsidRPr="00CB0B60">
            <w:rPr>
              <w:rFonts w:ascii="Daytona" w:hAnsi="Daytona" w:cs="Times New Roman"/>
              <w:color w:val="3D393C"/>
              <w:sz w:val="20"/>
              <w:szCs w:val="20"/>
              <w:shd w:val="clear" w:color="auto" w:fill="FFFFFF"/>
            </w:rPr>
            <w:t>à Montoir de Bretagne et Nantes, suite aux défaillances à répétition de l’</w:t>
          </w:r>
          <w:proofErr w:type="spellStart"/>
          <w:r w:rsidRPr="00CB0B60">
            <w:rPr>
              <w:rFonts w:ascii="Daytona" w:hAnsi="Daytona" w:cs="Times New Roman"/>
              <w:color w:val="3D393C"/>
              <w:sz w:val="20"/>
              <w:szCs w:val="20"/>
              <w:shd w:val="clear" w:color="auto" w:fill="FFFFFF"/>
            </w:rPr>
            <w:t>Haliade</w:t>
          </w:r>
          <w:proofErr w:type="spellEnd"/>
          <w:r w:rsidRPr="00CB0B60">
            <w:rPr>
              <w:rFonts w:ascii="Daytona" w:hAnsi="Daytona" w:cs="Times New Roman"/>
              <w:color w:val="3D393C"/>
              <w:sz w:val="20"/>
              <w:szCs w:val="20"/>
              <w:shd w:val="clear" w:color="auto" w:fill="FFFFFF"/>
            </w:rPr>
            <w:t xml:space="preserve"> X (ruptures de pales sur </w:t>
          </w:r>
          <w:proofErr w:type="spellStart"/>
          <w:r w:rsidRPr="00CB0B60">
            <w:rPr>
              <w:rFonts w:ascii="Daytona" w:hAnsi="Daytona" w:cs="Times New Roman"/>
              <w:color w:val="3D393C"/>
              <w:sz w:val="20"/>
              <w:szCs w:val="20"/>
              <w:shd w:val="clear" w:color="auto" w:fill="FFFFFF"/>
            </w:rPr>
            <w:t>Vineyard</w:t>
          </w:r>
          <w:proofErr w:type="spellEnd"/>
          <w:r w:rsidRPr="00CB0B60">
            <w:rPr>
              <w:rFonts w:ascii="Daytona" w:hAnsi="Daytona" w:cs="Times New Roman"/>
              <w:color w:val="3D393C"/>
              <w:sz w:val="20"/>
              <w:szCs w:val="20"/>
              <w:shd w:val="clear" w:color="auto" w:fill="FFFFFF"/>
            </w:rPr>
            <w:t xml:space="preserve"> Wind et Dogger Bank) et plus généralement aux difficultés de GE à développer des éoliennes de fortes puissances jugées indispensables à la rentabilité de l’éolien en mer. </w:t>
          </w:r>
        </w:p>
        <w:p w14:paraId="76DBDE01"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p>
        <w:p w14:paraId="6BE0BCFA"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 xml:space="preserve">Il faut encore mentionner la </w:t>
          </w:r>
          <w:r w:rsidRPr="00CB0B60">
            <w:rPr>
              <w:rFonts w:ascii="Daytona" w:hAnsi="Daytona" w:cs="Times New Roman"/>
              <w:b/>
              <w:bCs/>
              <w:color w:val="3D393C"/>
              <w:sz w:val="20"/>
              <w:szCs w:val="20"/>
              <w:shd w:val="clear" w:color="auto" w:fill="FFFFFF"/>
            </w:rPr>
            <w:t>très forte dépendance en matériaux et métaux critiques</w:t>
          </w:r>
          <w:r w:rsidRPr="00CB0B60">
            <w:rPr>
              <w:rFonts w:ascii="Daytona" w:hAnsi="Daytona" w:cs="Times New Roman"/>
              <w:color w:val="3D393C"/>
              <w:sz w:val="20"/>
              <w:szCs w:val="20"/>
              <w:shd w:val="clear" w:color="auto" w:fill="FFFFFF"/>
            </w:rPr>
            <w:t xml:space="preserve"> de cette technologie de production électrique avec les risques financiers et géostratégiques (cuivre, cobalt, terres rares) associés. Même pour un matériau banal comme l’acier, au niveau mondial, la demande pour l’éolien en mer représenterait l’équivalent de la demande actuelle pour l’automobile, si cette technologie devait être choisie pour les socles (</w:t>
          </w:r>
          <w:r w:rsidRPr="00CB0B60">
            <w:rPr>
              <w:rFonts w:ascii="Daytona" w:hAnsi="Daytona" w:cs="Times New Roman"/>
              <w:i/>
              <w:iCs/>
              <w:color w:val="3D393C"/>
              <w:sz w:val="20"/>
              <w:szCs w:val="20"/>
              <w:shd w:val="clear" w:color="auto" w:fill="FFFFFF"/>
            </w:rPr>
            <w:t>audition OPECST, 2 février 2023</w:t>
          </w:r>
          <w:r w:rsidRPr="00CB0B60">
            <w:rPr>
              <w:rFonts w:ascii="Daytona" w:hAnsi="Daytona" w:cs="Times New Roman"/>
              <w:color w:val="3D393C"/>
              <w:sz w:val="20"/>
              <w:szCs w:val="20"/>
              <w:shd w:val="clear" w:color="auto" w:fill="FFFFFF"/>
            </w:rPr>
            <w:t>).</w:t>
          </w:r>
        </w:p>
        <w:p w14:paraId="27BEC353"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p>
        <w:p w14:paraId="5C580E68" w14:textId="77777777" w:rsidR="00DF336D" w:rsidRPr="00CB0B60" w:rsidRDefault="00DF336D" w:rsidP="00DF336D">
          <w:pPr>
            <w:spacing w:after="0" w:line="240" w:lineRule="auto"/>
            <w:jc w:val="both"/>
            <w:rPr>
              <w:rFonts w:ascii="Daytona" w:hAnsi="Daytona" w:cs="Times New Roman"/>
              <w:b/>
              <w:bCs/>
              <w:color w:val="3D393C"/>
              <w:sz w:val="20"/>
              <w:szCs w:val="20"/>
              <w:shd w:val="clear" w:color="auto" w:fill="FFFFFF"/>
            </w:rPr>
          </w:pPr>
          <w:r w:rsidRPr="00CB0B60">
            <w:rPr>
              <w:rFonts w:ascii="Daytona" w:hAnsi="Daytona" w:cs="Times New Roman"/>
              <w:b/>
              <w:bCs/>
              <w:color w:val="3D393C"/>
              <w:sz w:val="20"/>
              <w:szCs w:val="20"/>
              <w:shd w:val="clear" w:color="auto" w:fill="FFFFFF"/>
            </w:rPr>
            <w:t>2) les difficultés spécifiques de l’éolien flottant</w:t>
          </w:r>
        </w:p>
        <w:p w14:paraId="392DA205"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p>
        <w:p w14:paraId="26AD656C" w14:textId="27912E74"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En ce qui concerne spécifiquement l’éolien flottant, les incertitudes technologiques sont en effet immenses :</w:t>
          </w:r>
          <w:r w:rsidRPr="00CB0B60">
            <w:rPr>
              <w:rFonts w:ascii="Daytona" w:hAnsi="Daytona"/>
              <w:sz w:val="20"/>
              <w:szCs w:val="20"/>
            </w:rPr>
            <w:t xml:space="preserve"> </w:t>
          </w:r>
          <w:r w:rsidRPr="00CB0B60">
            <w:rPr>
              <w:rFonts w:ascii="Daytona" w:hAnsi="Daytona" w:cs="Times New Roman"/>
              <w:sz w:val="20"/>
              <w:szCs w:val="20"/>
            </w:rPr>
            <w:t xml:space="preserve">les </w:t>
          </w:r>
          <w:r w:rsidRPr="00CB0B60">
            <w:rPr>
              <w:rFonts w:ascii="Daytona" w:hAnsi="Daytona" w:cs="Times New Roman"/>
              <w:color w:val="3D393C"/>
              <w:sz w:val="20"/>
              <w:szCs w:val="20"/>
              <w:shd w:val="clear" w:color="auto" w:fill="FFFFFF"/>
            </w:rPr>
            <w:t xml:space="preserve">postes électriques flottants, qui conditionnent l’éloignement aux côtes, ne sont pas encore techniquement matures (devant l’OPECST, RTE a annoncé 2040 pour une solution industrielle), le choix des socles industrialisables (acier ou béton) n’est pas réglé, les coûts de production sont  impossibles à estimer ( « Estimer les coûts de construction d’une filière qui n’est pas mature sur une période de 8 à dix ans ; impossible c’est une boule de cristal »- Grégoire de </w:t>
          </w:r>
          <w:proofErr w:type="spellStart"/>
          <w:r w:rsidRPr="00CB0B60">
            <w:rPr>
              <w:rFonts w:ascii="Daytona" w:hAnsi="Daytona" w:cs="Times New Roman"/>
              <w:color w:val="3D393C"/>
              <w:sz w:val="20"/>
              <w:szCs w:val="20"/>
              <w:shd w:val="clear" w:color="auto" w:fill="FFFFFF"/>
            </w:rPr>
            <w:t>Saivre</w:t>
          </w:r>
          <w:proofErr w:type="spellEnd"/>
          <w:r w:rsidRPr="00CB0B60">
            <w:rPr>
              <w:rFonts w:ascii="Daytona" w:hAnsi="Daytona" w:cs="Times New Roman"/>
              <w:color w:val="3D393C"/>
              <w:sz w:val="20"/>
              <w:szCs w:val="20"/>
              <w:shd w:val="clear" w:color="auto" w:fill="FFFFFF"/>
            </w:rPr>
            <w:t>, Total Energie), des problèmes de vibrations et de résonnances des installations restent à résoudre, la nature et la résistance des câbles flottants dynamiques sont des problèmes non résolus, et plus encore que l’éolien posé, l’éolien flottant doit affronter la problématique d’une course au gigantisme mal maitrisée, qui conditionne son éventuelle rentabilité.</w:t>
          </w:r>
        </w:p>
        <w:p w14:paraId="65189E46" w14:textId="6024B852"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Or, beaucoup de ces problèmes techniques non résolus ont une incidence forte sur la faisabilité même des programmes éoliens flottant, mais aussi sur les aménagements nécessaires dans les ports ; ainsi les socles en acier semblent impliquer un montage dans les ports et les socles en béton un montage en pleine mer</w:t>
          </w:r>
          <w:r w:rsidR="00ED2314">
            <w:rPr>
              <w:rFonts w:ascii="Daytona" w:hAnsi="Daytona" w:cs="Times New Roman"/>
              <w:color w:val="3D393C"/>
              <w:sz w:val="20"/>
              <w:szCs w:val="20"/>
              <w:shd w:val="clear" w:color="auto" w:fill="FFFFFF"/>
            </w:rPr>
            <w:t>.</w:t>
          </w:r>
        </w:p>
        <w:p w14:paraId="7C7CCC8D" w14:textId="77777777" w:rsidR="00DF336D" w:rsidRPr="00CB0B60" w:rsidRDefault="00DF336D" w:rsidP="00DF336D">
          <w:pPr>
            <w:spacing w:after="0" w:line="240" w:lineRule="auto"/>
            <w:jc w:val="both"/>
            <w:rPr>
              <w:rFonts w:ascii="Daytona" w:hAnsi="Daytona"/>
              <w:sz w:val="20"/>
              <w:szCs w:val="20"/>
            </w:rPr>
          </w:pPr>
        </w:p>
        <w:p w14:paraId="5AC0375B" w14:textId="6F057059" w:rsidR="00DF336D" w:rsidRPr="00CB0B60" w:rsidRDefault="00DF336D" w:rsidP="00DF336D">
          <w:pPr>
            <w:spacing w:after="0" w:line="240" w:lineRule="auto"/>
            <w:jc w:val="both"/>
            <w:rPr>
              <w:rFonts w:ascii="Daytona" w:hAnsi="Daytona" w:cs="Times New Roman"/>
              <w:b/>
              <w:bCs/>
              <w:color w:val="3D393C"/>
              <w:sz w:val="20"/>
              <w:szCs w:val="20"/>
              <w:shd w:val="clear" w:color="auto" w:fill="FFFFFF"/>
            </w:rPr>
          </w:pPr>
          <w:bookmarkStart w:id="0" w:name="_Hlk181463614"/>
          <w:r w:rsidRPr="00CB0B60">
            <w:rPr>
              <w:rFonts w:ascii="Daytona" w:hAnsi="Daytona" w:cs="Times New Roman"/>
              <w:b/>
              <w:bCs/>
              <w:color w:val="3D393C"/>
              <w:sz w:val="20"/>
              <w:szCs w:val="20"/>
              <w:shd w:val="clear" w:color="auto" w:fill="FFFFFF"/>
            </w:rPr>
            <w:t xml:space="preserve">3) Commission d’Enquête sénatoriale sur le coût de l’électricité : l’éolien en mer, un pari très risqué </w:t>
          </w:r>
        </w:p>
        <w:bookmarkEnd w:id="0"/>
        <w:p w14:paraId="1B187AE6" w14:textId="77777777" w:rsidR="00DF336D" w:rsidRPr="00CB0B60" w:rsidRDefault="00DF336D" w:rsidP="00DF336D">
          <w:pPr>
            <w:spacing w:after="0" w:line="240" w:lineRule="auto"/>
            <w:jc w:val="both"/>
            <w:rPr>
              <w:rFonts w:ascii="Daytona" w:hAnsi="Daytona" w:cs="Times New Roman"/>
              <w:i/>
              <w:iCs/>
              <w:color w:val="3D393C"/>
              <w:sz w:val="20"/>
              <w:szCs w:val="20"/>
              <w:shd w:val="clear" w:color="auto" w:fill="FFFFFF"/>
            </w:rPr>
          </w:pPr>
        </w:p>
        <w:p w14:paraId="5BC8A7C4" w14:textId="77777777" w:rsidR="00F34389" w:rsidRDefault="00DF336D" w:rsidP="00F34389">
          <w:pPr>
            <w:spacing w:after="0" w:line="240" w:lineRule="auto"/>
            <w:jc w:val="both"/>
            <w:rPr>
              <w:rFonts w:ascii="Daytona" w:hAnsi="Daytona" w:cs="Times New Roman"/>
              <w:color w:val="3D393C"/>
              <w:sz w:val="20"/>
              <w:szCs w:val="20"/>
              <w:shd w:val="clear" w:color="auto" w:fill="FFFFFF"/>
            </w:rPr>
          </w:pPr>
          <w:r w:rsidRPr="00F34389">
            <w:rPr>
              <w:rFonts w:ascii="Daytona" w:hAnsi="Daytona" w:cs="Times New Roman"/>
              <w:color w:val="3D393C"/>
              <w:sz w:val="20"/>
              <w:szCs w:val="20"/>
              <w:shd w:val="clear" w:color="auto" w:fill="FFFFFF"/>
            </w:rPr>
            <w:t>La Commission Sénatoriale d’enquête sur la production, la consommation et le prix de l’électricité aux horizons 2035 et 2050,</w:t>
          </w:r>
          <w:r w:rsidRPr="00CB0B60">
            <w:rPr>
              <w:rFonts w:ascii="Daytona" w:hAnsi="Daytona" w:cs="Times New Roman"/>
              <w:color w:val="3D393C"/>
              <w:sz w:val="20"/>
              <w:szCs w:val="20"/>
              <w:shd w:val="clear" w:color="auto" w:fill="FFFFFF"/>
            </w:rPr>
            <w:t xml:space="preserve"> par laquelle nous avons été auditionné, a consacré dans son rapport (juillet 2024) une part importante à l’éolien en mer : elle y considère notamment </w:t>
          </w:r>
          <w:r w:rsidRPr="00F34389">
            <w:rPr>
              <w:rFonts w:ascii="Daytona" w:hAnsi="Daytona" w:cs="Times New Roman"/>
              <w:color w:val="3D393C"/>
              <w:sz w:val="20"/>
              <w:szCs w:val="20"/>
              <w:shd w:val="clear" w:color="auto" w:fill="FFFFFF"/>
            </w:rPr>
            <w:t xml:space="preserve">que l’éolien en mer constitue un pari risqué, compte tenu des coûts réels de ces technologies, de leurs difficultés d’acceptabilité et de la faible maturité technique de l’éolien flottant et qu’en conséquence, le programme de Belfort (45 GW d’éolien en mer) sera impossible à tenir et qu‘à tout le moins, les objectifs 2035 (#18GW) devraient être décalés à 2050- et, par conséquent, ceux de 2050 (45 GW) abandonnés. </w:t>
          </w:r>
          <w:r w:rsidR="00ED2314" w:rsidRPr="00F34389">
            <w:rPr>
              <w:rFonts w:ascii="Daytona" w:hAnsi="Daytona" w:cs="Times New Roman"/>
              <w:color w:val="3D393C"/>
              <w:sz w:val="20"/>
              <w:szCs w:val="20"/>
              <w:shd w:val="clear" w:color="auto" w:fill="FFFFFF"/>
            </w:rPr>
            <w:t xml:space="preserve">L’équation </w:t>
          </w:r>
          <w:r w:rsidR="00CE6363" w:rsidRPr="00F34389">
            <w:rPr>
              <w:rFonts w:ascii="Daytona" w:hAnsi="Daytona" w:cs="Times New Roman"/>
              <w:color w:val="3D393C"/>
              <w:sz w:val="20"/>
              <w:szCs w:val="20"/>
              <w:shd w:val="clear" w:color="auto" w:fill="FFFFFF"/>
            </w:rPr>
            <w:t>é</w:t>
          </w:r>
          <w:r w:rsidRPr="00F34389">
            <w:rPr>
              <w:rFonts w:ascii="Daytona" w:hAnsi="Daytona" w:cs="Times New Roman"/>
              <w:color w:val="3D393C"/>
              <w:sz w:val="20"/>
              <w:szCs w:val="20"/>
              <w:shd w:val="clear" w:color="auto" w:fill="FFFFFF"/>
            </w:rPr>
            <w:t>conomique de l’éolien est intenable</w:t>
          </w:r>
          <w:r w:rsidR="00F34389">
            <w:rPr>
              <w:rFonts w:ascii="Daytona" w:hAnsi="Daytona" w:cs="Times New Roman"/>
              <w:color w:val="3D393C"/>
              <w:sz w:val="20"/>
              <w:szCs w:val="20"/>
              <w:shd w:val="clear" w:color="auto" w:fill="FFFFFF"/>
            </w:rPr>
            <w:t>.</w:t>
          </w:r>
        </w:p>
        <w:p w14:paraId="152F7F0E" w14:textId="06007D04" w:rsidR="00DF336D" w:rsidRPr="00F34389" w:rsidRDefault="00DF336D" w:rsidP="00F34389">
          <w:pPr>
            <w:spacing w:after="0" w:line="240" w:lineRule="auto"/>
            <w:jc w:val="both"/>
            <w:rPr>
              <w:rFonts w:ascii="Daytona" w:hAnsi="Daytona" w:cs="Times New Roman"/>
              <w:color w:val="3D393C"/>
              <w:sz w:val="20"/>
              <w:szCs w:val="20"/>
              <w:shd w:val="clear" w:color="auto" w:fill="FFFFFF"/>
            </w:rPr>
          </w:pPr>
          <w:r w:rsidRPr="00F34389">
            <w:rPr>
              <w:rFonts w:ascii="Daytona" w:hAnsi="Daytona" w:cs="Times New Roman"/>
              <w:color w:val="3D393C"/>
              <w:sz w:val="20"/>
              <w:szCs w:val="20"/>
              <w:shd w:val="clear" w:color="auto" w:fill="FFFFFF"/>
            </w:rPr>
            <w:t xml:space="preserve"> </w:t>
          </w:r>
        </w:p>
        <w:p w14:paraId="5A2A0A16" w14:textId="77777777" w:rsidR="00DF336D" w:rsidRPr="00F34389" w:rsidRDefault="00DF336D" w:rsidP="00DF336D">
          <w:pPr>
            <w:spacing w:after="0" w:line="240" w:lineRule="auto"/>
            <w:jc w:val="both"/>
            <w:rPr>
              <w:rFonts w:ascii="Daytona" w:hAnsi="Daytona" w:cs="Times New Roman"/>
              <w:b/>
              <w:bCs/>
              <w:color w:val="3D393C"/>
              <w:sz w:val="20"/>
              <w:szCs w:val="20"/>
              <w:shd w:val="clear" w:color="auto" w:fill="FFFFFF"/>
            </w:rPr>
          </w:pPr>
          <w:r w:rsidRPr="00F34389">
            <w:rPr>
              <w:rFonts w:ascii="Daytona" w:hAnsi="Daytona" w:cs="Times New Roman"/>
              <w:b/>
              <w:bCs/>
              <w:color w:val="3D393C"/>
              <w:sz w:val="20"/>
              <w:szCs w:val="20"/>
              <w:shd w:val="clear" w:color="auto" w:fill="FFFFFF"/>
            </w:rPr>
            <w:t xml:space="preserve">4) Explosion des prix négatifs : le modèle économique est intenable </w:t>
          </w:r>
        </w:p>
        <w:p w14:paraId="19D1CB35" w14:textId="77777777" w:rsidR="00DF336D" w:rsidRPr="00F34389" w:rsidRDefault="00DF336D" w:rsidP="00DF336D">
          <w:pPr>
            <w:spacing w:after="0" w:line="240" w:lineRule="auto"/>
            <w:jc w:val="both"/>
            <w:rPr>
              <w:rFonts w:ascii="Daytona" w:hAnsi="Daytona" w:cs="Times New Roman"/>
              <w:color w:val="3D393C"/>
              <w:sz w:val="20"/>
              <w:szCs w:val="20"/>
              <w:shd w:val="clear" w:color="auto" w:fill="FFFFFF"/>
            </w:rPr>
          </w:pPr>
        </w:p>
        <w:p w14:paraId="206D623C" w14:textId="2766B4F4"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Dans son rapport trimestriel sur les marchés de l’électricité (2</w:t>
          </w:r>
          <w:r w:rsidRPr="00F34389">
            <w:rPr>
              <w:rFonts w:ascii="Daytona" w:hAnsi="Daytona" w:cs="Times New Roman"/>
              <w:color w:val="3D393C"/>
              <w:sz w:val="20"/>
              <w:szCs w:val="20"/>
              <w:shd w:val="clear" w:color="auto" w:fill="FFFFFF"/>
            </w:rPr>
            <w:t>nd</w:t>
          </w:r>
          <w:r w:rsidRPr="00CB0B60">
            <w:rPr>
              <w:rFonts w:ascii="Daytona" w:hAnsi="Daytona" w:cs="Times New Roman"/>
              <w:color w:val="3D393C"/>
              <w:sz w:val="20"/>
              <w:szCs w:val="20"/>
              <w:shd w:val="clear" w:color="auto" w:fill="FFFFFF"/>
            </w:rPr>
            <w:t xml:space="preserve"> semestre 2024), la Commission Européenne est bien obligée de constater un dysfonctionnement majeur : l’explosion du nombre d’heures de prix négatifs pour l’électricité. C’est, en Europe, 4166h, soit un quasi-triplement (+189%) par rapport à la même période l'année précédente ! Ce phénomène, particulièrement prégnant en Allemagne commence à toucher significativement la France. Nous devrions vraisemblablement finir l'année avec plus de 400 heures en prix négatifs, alors qu'avant on ne dépassait pas les 50 heures » (soit +700%)…</w:t>
          </w:r>
          <w:r w:rsidR="00F34389">
            <w:rPr>
              <w:rFonts w:ascii="Daytona" w:hAnsi="Daytona" w:cs="Times New Roman"/>
              <w:color w:val="3D393C"/>
              <w:sz w:val="20"/>
              <w:szCs w:val="20"/>
              <w:shd w:val="clear" w:color="auto" w:fill="FFFFFF"/>
            </w:rPr>
            <w:t xml:space="preserve"> </w:t>
          </w:r>
          <w:r w:rsidRPr="00CB0B60">
            <w:rPr>
              <w:rFonts w:ascii="Daytona" w:hAnsi="Daytona" w:cs="Times New Roman"/>
              <w:color w:val="3D393C"/>
              <w:sz w:val="20"/>
              <w:szCs w:val="20"/>
              <w:shd w:val="clear" w:color="auto" w:fill="FFFFFF"/>
            </w:rPr>
            <w:t>et ceci ne concerne que les prix négatifs, même pas les prix nuls et ceux en-dessous du coût de production.</w:t>
          </w:r>
          <w:r w:rsidR="00B11833">
            <w:rPr>
              <w:rFonts w:ascii="Daytona" w:hAnsi="Daytona" w:cs="Times New Roman"/>
              <w:color w:val="3D393C"/>
              <w:sz w:val="20"/>
              <w:szCs w:val="20"/>
              <w:shd w:val="clear" w:color="auto" w:fill="FFFFFF"/>
            </w:rPr>
            <w:t xml:space="preserve"> </w:t>
          </w:r>
          <w:r w:rsidR="00B11833" w:rsidRPr="00263A8B">
            <w:rPr>
              <w:rFonts w:ascii="Daytona" w:hAnsi="Daytona" w:cs="Times New Roman"/>
              <w:i/>
              <w:iCs/>
              <w:color w:val="3D393C"/>
              <w:sz w:val="20"/>
              <w:szCs w:val="20"/>
              <w:shd w:val="clear" w:color="auto" w:fill="FFFFFF"/>
            </w:rPr>
            <w:t xml:space="preserve">(La Tribune, </w:t>
          </w:r>
          <w:r w:rsidR="00263A8B" w:rsidRPr="00263A8B">
            <w:rPr>
              <w:rFonts w:ascii="Daytona" w:hAnsi="Daytona" w:cs="Times New Roman"/>
              <w:i/>
              <w:iCs/>
              <w:color w:val="3D393C"/>
              <w:sz w:val="20"/>
              <w:szCs w:val="20"/>
              <w:shd w:val="clear" w:color="auto" w:fill="FFFFFF"/>
            </w:rPr>
            <w:t>Prix Négatifs de l’Electricité , 29 oct24)</w:t>
          </w:r>
        </w:p>
        <w:p w14:paraId="1F5E5132"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p>
        <w:p w14:paraId="005DA3E4" w14:textId="7CF6A284"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Comment s‘étonner que l’électricité atteigne des coûts insupportables pour le particulier, pour les artisans, pour les industriels quand Saint-Nazaire produit de l’électricité à 143,6 €/MWh et Saint-Brieuc tout juste inauguré à 180 €/MWh que l’Etat leur achète à ce prix même lorsque la valeur de l’électricité générée est nulle voir négative, parce que personne n’en a besoin ?</w:t>
          </w:r>
        </w:p>
        <w:p w14:paraId="23650233"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p>
        <w:p w14:paraId="751223FC" w14:textId="77777777" w:rsidR="00DF336D" w:rsidRPr="00F34389" w:rsidRDefault="00DF336D" w:rsidP="00DF336D">
          <w:pPr>
            <w:jc w:val="both"/>
            <w:rPr>
              <w:rFonts w:ascii="Daytona" w:hAnsi="Daytona" w:cs="Times New Roman"/>
              <w:color w:val="3D393C"/>
              <w:sz w:val="20"/>
              <w:szCs w:val="20"/>
              <w:shd w:val="clear" w:color="auto" w:fill="FFFFFF"/>
            </w:rPr>
          </w:pPr>
          <w:r w:rsidRPr="00F34389">
            <w:rPr>
              <w:rFonts w:ascii="Daytona" w:hAnsi="Daytona" w:cs="Times New Roman"/>
              <w:color w:val="3D393C"/>
              <w:sz w:val="20"/>
              <w:szCs w:val="20"/>
              <w:shd w:val="clear" w:color="auto" w:fill="FFFFFF"/>
            </w:rPr>
            <w:t>Les « prix négatifs » (il faudrait plus justement parler de « valeurs négatives »)</w:t>
          </w:r>
          <w:r w:rsidRPr="00CB0B60">
            <w:rPr>
              <w:rFonts w:ascii="Daytona" w:hAnsi="Daytona" w:cs="Times New Roman"/>
              <w:sz w:val="20"/>
              <w:szCs w:val="20"/>
            </w:rPr>
            <w:t xml:space="preserve"> </w:t>
          </w:r>
          <w:r w:rsidRPr="00F34389">
            <w:rPr>
              <w:rFonts w:ascii="Daytona" w:hAnsi="Daytona" w:cs="Times New Roman"/>
              <w:color w:val="3D393C"/>
              <w:sz w:val="20"/>
              <w:szCs w:val="20"/>
              <w:shd w:val="clear" w:color="auto" w:fill="FFFFFF"/>
            </w:rPr>
            <w:t>ne reflètent donc nullement une baisse des prix de production, et encore moins une baisse des prix pour les utilisateurs, mais de plus en plus de productions fatales, décorrélées de toute demande et dont personne n’a besoin. Et logiquement, cette décorrélation augmente avec le taux d’Energies Fatales Intermittentes sur le réseau.</w:t>
          </w:r>
        </w:p>
        <w:p w14:paraId="53FB7162" w14:textId="76E9E4C2" w:rsidR="00DF336D"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 xml:space="preserve">La politique de promotion des ENR nous emmène dans un cercle vicieux qui se constitue ainsi : 1) Le caractère fatal et intermittent des ENR et leur « cannibalisation » provoque une explosion des périodes de prix négatifs (et plus généralement production à perte) ; 2) Ces pertes qu'il faut compenser renchérissent le coût de l'électricité ; 3) Des industriels </w:t>
          </w:r>
          <w:proofErr w:type="spellStart"/>
          <w:r w:rsidRPr="00CB0B60">
            <w:rPr>
              <w:rFonts w:ascii="Daytona" w:hAnsi="Daytona" w:cs="Times New Roman"/>
              <w:color w:val="3D393C"/>
              <w:sz w:val="20"/>
              <w:szCs w:val="20"/>
              <w:shd w:val="clear" w:color="auto" w:fill="FFFFFF"/>
            </w:rPr>
            <w:t>électrointensifs</w:t>
          </w:r>
          <w:proofErr w:type="spellEnd"/>
          <w:r w:rsidRPr="00CB0B60">
            <w:rPr>
              <w:rFonts w:ascii="Daytona" w:hAnsi="Daytona" w:cs="Times New Roman"/>
              <w:color w:val="3D393C"/>
              <w:sz w:val="20"/>
              <w:szCs w:val="20"/>
              <w:shd w:val="clear" w:color="auto" w:fill="FFFFFF"/>
            </w:rPr>
            <w:t xml:space="preserve"> ferment leur production et partent, diminuant encore la demande ; 4) Cette diminution de la demande entraîne une augmentation des périodes à prix négatifs des ENR qui deviennent de moins en moins rentables</w:t>
          </w:r>
          <w:r w:rsidR="00CB0B60">
            <w:rPr>
              <w:rFonts w:ascii="Daytona" w:hAnsi="Daytona" w:cs="Times New Roman"/>
              <w:color w:val="3D393C"/>
              <w:sz w:val="20"/>
              <w:szCs w:val="20"/>
              <w:shd w:val="clear" w:color="auto" w:fill="FFFFFF"/>
            </w:rPr>
            <w:t>.</w:t>
          </w:r>
        </w:p>
        <w:p w14:paraId="5D8F6457" w14:textId="77777777" w:rsidR="00CB0B60" w:rsidRPr="00CB0B60" w:rsidRDefault="00CB0B60" w:rsidP="00DF336D">
          <w:pPr>
            <w:spacing w:after="0" w:line="240" w:lineRule="auto"/>
            <w:jc w:val="both"/>
            <w:rPr>
              <w:rFonts w:ascii="Daytona" w:hAnsi="Daytona" w:cs="Times New Roman"/>
              <w:color w:val="3D393C"/>
              <w:sz w:val="20"/>
              <w:szCs w:val="20"/>
              <w:shd w:val="clear" w:color="auto" w:fill="FFFFFF"/>
            </w:rPr>
          </w:pPr>
        </w:p>
        <w:p w14:paraId="703999BC"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Il est donc assez compréhensible que de plus en plus d’acteurs financiers se montrent réticents à investir dans ce domaine, tant l’absurdité et la dangerosité du système deviennent de plus en plus évidentes.  De toute évidence, ce modèle n’est pas durable !</w:t>
          </w:r>
        </w:p>
        <w:p w14:paraId="6CCBB908"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p>
        <w:p w14:paraId="5E864BEF" w14:textId="77777777" w:rsidR="00DF336D" w:rsidRPr="00F34389" w:rsidRDefault="00DF336D" w:rsidP="00DF336D">
          <w:pPr>
            <w:spacing w:after="0" w:line="240" w:lineRule="auto"/>
            <w:jc w:val="both"/>
            <w:rPr>
              <w:rFonts w:ascii="Daytona" w:hAnsi="Daytona" w:cs="Times New Roman"/>
              <w:b/>
              <w:bCs/>
              <w:color w:val="3D393C"/>
              <w:sz w:val="20"/>
              <w:szCs w:val="20"/>
              <w:shd w:val="clear" w:color="auto" w:fill="FFFFFF"/>
            </w:rPr>
          </w:pPr>
          <w:r w:rsidRPr="00F34389">
            <w:rPr>
              <w:rFonts w:ascii="Daytona" w:hAnsi="Daytona" w:cs="Times New Roman"/>
              <w:b/>
              <w:bCs/>
              <w:color w:val="3D393C"/>
              <w:sz w:val="20"/>
              <w:szCs w:val="20"/>
              <w:shd w:val="clear" w:color="auto" w:fill="FFFFFF"/>
            </w:rPr>
            <w:t xml:space="preserve">5) RTE et la CRE l’annoncent : fin de l’ « open bar » pour les Energies Fatales Intermittentes </w:t>
          </w:r>
        </w:p>
        <w:p w14:paraId="611BFC8B" w14:textId="77777777" w:rsidR="00DF336D" w:rsidRPr="00CB0B60" w:rsidRDefault="00DF336D" w:rsidP="00DF336D">
          <w:pPr>
            <w:spacing w:after="0" w:line="240" w:lineRule="auto"/>
            <w:jc w:val="both"/>
            <w:rPr>
              <w:rFonts w:ascii="Daytona" w:hAnsi="Daytona" w:cs="Times New Roman"/>
              <w:color w:val="3D393C"/>
              <w:sz w:val="20"/>
              <w:szCs w:val="20"/>
              <w:shd w:val="clear" w:color="auto" w:fill="FFFFFF"/>
            </w:rPr>
          </w:pPr>
        </w:p>
        <w:p w14:paraId="09B44FD8" w14:textId="3B9EDCD8" w:rsidR="00DF336D" w:rsidRPr="00CB0B60" w:rsidRDefault="00DF336D" w:rsidP="00DF336D">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Le Syndicat des Energies Renouvelables ne s’en est pas vanté, mais l’intervention du patron de RTE lors de son XXVème colloque (septembre 2024) a été un véritable pavé dans la marre, Les exigences de sécurité d’alimentation ne sont tout simplement pas compatibles avec un pourcentage trop élevé d’Energies Fatales Intermittentes et l’économie du système n’est plus soutenable, notamment en raison du manque de corrélation entre la demande et la production, qui se traduit notamment par l’explosion des productions à prix négatifs. RTE déplore le manque de transparence des producteurs renouvelables et prône la fin des contrats avec obligations d’achats et prix garantis, une généralisation des contrats des contrats à compléments de rémunération, qui incitent à ne pas produire en cas de surproduction et l’imposition d’écrêtements en cas de surproduction.</w:t>
          </w:r>
        </w:p>
        <w:p w14:paraId="564466AE" w14:textId="0B1811F1" w:rsidR="00DF336D" w:rsidRDefault="00DF336D" w:rsidP="00CB0B60">
          <w:pPr>
            <w:spacing w:after="0" w:line="240" w:lineRule="auto"/>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 xml:space="preserve">Cela ne suffit pas à garantir la stabilité du réseau en cas de chutes rapides de production qui se multiplieront en fréquence et en amplitude avec les Energies Fatales Intermittentes. RTE demande donc que les ENR participent aux services réseau (stockage, maintien de la fréquence et de la tension, mécanismes d’ajustement…)  </w:t>
          </w:r>
        </w:p>
        <w:p w14:paraId="651C9A62" w14:textId="77777777" w:rsidR="00CB0B60" w:rsidRPr="00CB0B60" w:rsidRDefault="00CB0B60" w:rsidP="00CB0B60">
          <w:pPr>
            <w:spacing w:after="0" w:line="240" w:lineRule="auto"/>
            <w:jc w:val="both"/>
            <w:rPr>
              <w:rFonts w:ascii="Daytona" w:hAnsi="Daytona" w:cs="Times New Roman"/>
              <w:color w:val="3D393C"/>
              <w:sz w:val="20"/>
              <w:szCs w:val="20"/>
              <w:shd w:val="clear" w:color="auto" w:fill="FFFFFF"/>
            </w:rPr>
          </w:pPr>
        </w:p>
        <w:p w14:paraId="58828F04" w14:textId="3174677F" w:rsidR="00DF336D" w:rsidRPr="00CB0B60" w:rsidRDefault="00DF336D" w:rsidP="00DF336D">
          <w:pPr>
            <w:jc w:val="both"/>
            <w:rPr>
              <w:rFonts w:ascii="Daytona" w:hAnsi="Daytona" w:cs="Times New Roman"/>
              <w:color w:val="3D393C"/>
              <w:sz w:val="20"/>
              <w:szCs w:val="20"/>
              <w:shd w:val="clear" w:color="auto" w:fill="FFFFFF"/>
            </w:rPr>
          </w:pPr>
          <w:r w:rsidRPr="00CB0B60">
            <w:rPr>
              <w:rFonts w:ascii="Daytona" w:hAnsi="Daytona" w:cs="Times New Roman"/>
              <w:color w:val="3D393C"/>
              <w:sz w:val="20"/>
              <w:szCs w:val="20"/>
              <w:shd w:val="clear" w:color="auto" w:fill="FFFFFF"/>
            </w:rPr>
            <w:t>La conclusion : « </w:t>
          </w:r>
          <w:r w:rsidRPr="00F34389">
            <w:rPr>
              <w:rFonts w:ascii="Daytona" w:hAnsi="Daytona" w:cs="Times New Roman"/>
              <w:color w:val="3D393C"/>
              <w:sz w:val="20"/>
              <w:szCs w:val="20"/>
              <w:shd w:val="clear" w:color="auto" w:fill="FFFFFF"/>
            </w:rPr>
            <w:t> Les ENR sont devenues un acteur majeur du système électrique, il faut que demain, elles aient les mêmes droit</w:t>
          </w:r>
          <w:r w:rsidR="00ED2314" w:rsidRPr="00F34389">
            <w:rPr>
              <w:rFonts w:ascii="Daytona" w:hAnsi="Daytona" w:cs="Times New Roman"/>
              <w:color w:val="3D393C"/>
              <w:sz w:val="20"/>
              <w:szCs w:val="20"/>
              <w:shd w:val="clear" w:color="auto" w:fill="FFFFFF"/>
            </w:rPr>
            <w:t>s</w:t>
          </w:r>
          <w:r w:rsidRPr="00F34389">
            <w:rPr>
              <w:rFonts w:ascii="Daytona" w:hAnsi="Daytona" w:cs="Times New Roman"/>
              <w:color w:val="3D393C"/>
              <w:sz w:val="20"/>
              <w:szCs w:val="20"/>
              <w:shd w:val="clear" w:color="auto" w:fill="FFFFFF"/>
            </w:rPr>
            <w:t xml:space="preserve"> et les mêmes devoirs que les autres moyens de production ». Ce qui signifie tout bonnement la fin de l’</w:t>
          </w:r>
          <w:r w:rsidR="003D5F84" w:rsidRPr="00F34389">
            <w:rPr>
              <w:rFonts w:ascii="Daytona" w:hAnsi="Daytona" w:cs="Times New Roman"/>
              <w:color w:val="3D393C"/>
              <w:sz w:val="20"/>
              <w:szCs w:val="20"/>
              <w:shd w:val="clear" w:color="auto" w:fill="FFFFFF"/>
            </w:rPr>
            <w:t> « </w:t>
          </w:r>
          <w:r w:rsidRPr="00F34389">
            <w:rPr>
              <w:rFonts w:ascii="Daytona" w:hAnsi="Daytona" w:cs="Times New Roman"/>
              <w:color w:val="3D393C"/>
              <w:sz w:val="20"/>
              <w:szCs w:val="20"/>
              <w:shd w:val="clear" w:color="auto" w:fill="FFFFFF"/>
            </w:rPr>
            <w:t>open bar</w:t>
          </w:r>
          <w:r w:rsidR="003D5F84" w:rsidRPr="00F34389">
            <w:rPr>
              <w:rFonts w:ascii="Daytona" w:hAnsi="Daytona" w:cs="Times New Roman"/>
              <w:color w:val="3D393C"/>
              <w:sz w:val="20"/>
              <w:szCs w:val="20"/>
              <w:shd w:val="clear" w:color="auto" w:fill="FFFFFF"/>
            </w:rPr>
            <w:t> »</w:t>
          </w:r>
          <w:r w:rsidRPr="00F34389">
            <w:rPr>
              <w:rFonts w:ascii="Daytona" w:hAnsi="Daytona" w:cs="Times New Roman"/>
              <w:color w:val="3D393C"/>
              <w:sz w:val="20"/>
              <w:szCs w:val="20"/>
              <w:shd w:val="clear" w:color="auto" w:fill="FFFFFF"/>
            </w:rPr>
            <w:t xml:space="preserve"> pour les ENR, la fin de leurs privilèges, l’obligation de payer pour les externalités négatives. Se rapprocher ainsi de la vérité de leurs coûts changera beaucoup de choses </w:t>
          </w:r>
          <w:r w:rsidRPr="00CB0B60">
            <w:rPr>
              <w:rFonts w:ascii="Daytona" w:hAnsi="Daytona" w:cs="Times New Roman"/>
              <w:color w:val="3D393C"/>
              <w:sz w:val="20"/>
              <w:szCs w:val="20"/>
              <w:shd w:val="clear" w:color="auto" w:fill="FFFFFF"/>
            </w:rPr>
            <w:t>– notamment de grosses difficultés pour l’éolien en mer, la méthode la plus coûteuse de production électrique.</w:t>
          </w:r>
        </w:p>
        <w:p w14:paraId="23B5797A" w14:textId="77777777" w:rsidR="00DF336D" w:rsidRPr="00CB0B60" w:rsidRDefault="00DF336D" w:rsidP="00DF336D">
          <w:pPr>
            <w:jc w:val="both"/>
            <w:rPr>
              <w:rFonts w:ascii="Daytona" w:hAnsi="Daytona" w:cs="Times New Roman"/>
              <w:b/>
              <w:bCs/>
              <w:sz w:val="20"/>
              <w:szCs w:val="20"/>
            </w:rPr>
          </w:pPr>
          <w:r w:rsidRPr="00F34389">
            <w:rPr>
              <w:rFonts w:ascii="Daytona" w:hAnsi="Daytona" w:cs="Times New Roman"/>
              <w:b/>
              <w:bCs/>
              <w:color w:val="3D393C"/>
              <w:sz w:val="20"/>
              <w:szCs w:val="20"/>
              <w:shd w:val="clear" w:color="auto" w:fill="FFFFFF"/>
            </w:rPr>
            <w:t>6)</w:t>
          </w:r>
          <w:r w:rsidRPr="00CB0B60">
            <w:rPr>
              <w:rFonts w:ascii="Daytona" w:hAnsi="Daytona" w:cs="Times New Roman"/>
              <w:color w:val="3D393C"/>
              <w:sz w:val="20"/>
              <w:szCs w:val="20"/>
              <w:shd w:val="clear" w:color="auto" w:fill="FFFFFF"/>
            </w:rPr>
            <w:t xml:space="preserve"> </w:t>
          </w:r>
          <w:r w:rsidRPr="00CB0B60">
            <w:rPr>
              <w:rFonts w:ascii="Daytona" w:hAnsi="Daytona" w:cs="Times New Roman"/>
              <w:b/>
              <w:bCs/>
              <w:sz w:val="20"/>
              <w:szCs w:val="20"/>
            </w:rPr>
            <w:t>La demande d’électricité révisée à la baisse d’ici 2035- nous pourrons nous passer d’éolien en mer !</w:t>
          </w:r>
        </w:p>
        <w:p w14:paraId="0401FBD1" w14:textId="3276CC64" w:rsidR="00DF336D" w:rsidRPr="00CB0B60" w:rsidRDefault="00DF336D" w:rsidP="00DF336D">
          <w:pPr>
            <w:jc w:val="both"/>
            <w:rPr>
              <w:rFonts w:ascii="Daytona" w:hAnsi="Daytona" w:cs="Times New Roman"/>
              <w:sz w:val="20"/>
              <w:szCs w:val="20"/>
            </w:rPr>
          </w:pPr>
          <w:r w:rsidRPr="00CB0B60">
            <w:rPr>
              <w:rFonts w:ascii="Daytona" w:hAnsi="Daytona" w:cs="Times New Roman"/>
              <w:sz w:val="20"/>
              <w:szCs w:val="20"/>
            </w:rPr>
            <w:t>Dans une note publiée le 23 octobre 2024 et qui constitue une véritable retournement, la DGEC reconnait enfin l’évidence</w:t>
          </w:r>
          <w:r w:rsidR="00CE6363">
            <w:rPr>
              <w:rFonts w:ascii="Daytona" w:hAnsi="Daytona" w:cs="Times New Roman"/>
              <w:sz w:val="20"/>
              <w:szCs w:val="20"/>
            </w:rPr>
            <w:t xml:space="preserve"> </w:t>
          </w:r>
          <w:r w:rsidRPr="00CB0B60">
            <w:rPr>
              <w:rFonts w:ascii="Daytona" w:hAnsi="Daytona" w:cs="Times New Roman"/>
              <w:sz w:val="20"/>
              <w:szCs w:val="20"/>
            </w:rPr>
            <w:t> </w:t>
          </w:r>
          <w:r w:rsidRPr="00CB0B60">
            <w:rPr>
              <w:rFonts w:ascii="Daytona" w:hAnsi="Daytona" w:cs="Times New Roman"/>
              <w:i/>
              <w:iCs/>
              <w:sz w:val="20"/>
              <w:szCs w:val="20"/>
            </w:rPr>
            <w:t>: « L’électrification de l’économie française pourrait s’avérer plus lente que prévu, entraînant une hausse de la consommation d’électricité moins importante qu’anticipé d’ici 2035</w:t>
          </w:r>
          <w:r w:rsidRPr="00CB0B60">
            <w:rPr>
              <w:rFonts w:ascii="Daytona" w:hAnsi="Daytona" w:cs="Times New Roman"/>
              <w:sz w:val="20"/>
              <w:szCs w:val="20"/>
            </w:rPr>
            <w:t>… Ce qu’on voit, c’est qu’en termes de consommation d'électricité, on est plutôt en dessous du scénario central qu’on avait publié en 2023, qui était le 580-640 TWh par an ». En cause, selon la DGEC, la transition des véhicules vers l’électrique, le rythme d’installation des pompes à chaleur dans les bâtiments « notamment plus lent que « les trajectoires qu’on souhaiterait ». Et surtout « </w:t>
          </w:r>
          <w:r w:rsidRPr="00CB0B60">
            <w:rPr>
              <w:rFonts w:ascii="Daytona" w:hAnsi="Daytona" w:cs="Times New Roman"/>
              <w:i/>
              <w:iCs/>
              <w:sz w:val="20"/>
              <w:szCs w:val="20"/>
            </w:rPr>
            <w:t>le directeur de la flexibilité de RTE note également un retard dans le développement de l’hydrogène</w:t>
          </w:r>
          <w:r w:rsidRPr="00CB0B60">
            <w:rPr>
              <w:rFonts w:ascii="Daytona" w:hAnsi="Daytona" w:cs="Times New Roman"/>
              <w:sz w:val="20"/>
              <w:szCs w:val="20"/>
            </w:rPr>
            <w:t>, qui devait constituer le plus gros facteur de hausse de la demande d’électricité, avec une consommation de 24 TWh environ en 2030 puis de 65 TWh en 2035, contre 38 TWh par exemple pour les voitures électriques.</w:t>
          </w:r>
        </w:p>
        <w:p w14:paraId="5B2620C5" w14:textId="6ECD66AA" w:rsidR="00DF336D" w:rsidRPr="00CB0B60" w:rsidRDefault="00DF336D" w:rsidP="00DF336D">
          <w:pPr>
            <w:jc w:val="both"/>
            <w:rPr>
              <w:rFonts w:ascii="Daytona" w:hAnsi="Daytona" w:cs="Times New Roman"/>
              <w:sz w:val="20"/>
              <w:szCs w:val="20"/>
            </w:rPr>
          </w:pPr>
          <w:r w:rsidRPr="00CB0B60">
            <w:rPr>
              <w:rFonts w:ascii="Daytona" w:hAnsi="Daytona" w:cs="Times New Roman"/>
              <w:sz w:val="20"/>
              <w:szCs w:val="20"/>
            </w:rPr>
            <w:t xml:space="preserve">En fait deux facteurs se conjuguent. </w:t>
          </w:r>
          <w:r w:rsidRPr="00CB0B60">
            <w:rPr>
              <w:rFonts w:ascii="Daytona" w:hAnsi="Daytona" w:cs="Times New Roman"/>
              <w:i/>
              <w:iCs/>
              <w:sz w:val="20"/>
              <w:szCs w:val="20"/>
            </w:rPr>
            <w:t>D’une part, une demande augmentant moins vite que prévu</w:t>
          </w:r>
          <w:r w:rsidRPr="00CB0B60">
            <w:rPr>
              <w:rFonts w:ascii="Daytona" w:hAnsi="Daytona" w:cs="Times New Roman"/>
              <w:sz w:val="20"/>
              <w:szCs w:val="20"/>
            </w:rPr>
            <w:t xml:space="preserve">, parfois pour de bonnes raisons (augmentation plus vite que prévu de l’efficacité énergétique, retour à la réalité dans le domaine de l’hydrogène et de l’électrification de la mobilité) et pour d’autres plus inquiétantes (sobriété subie ou même précarité énergétique, choix fiscaux encourageant peu le passage à l’électricité, retards dans la réindustrialisation). Globalement, le coût, les conséquences sociales (automobile) et les difficultés de la transition énergétique ont été sous-évalués. </w:t>
          </w:r>
          <w:r w:rsidRPr="00CB0B60">
            <w:rPr>
              <w:rFonts w:ascii="Daytona" w:hAnsi="Daytona" w:cs="Times New Roman"/>
              <w:i/>
              <w:iCs/>
              <w:sz w:val="20"/>
              <w:szCs w:val="20"/>
            </w:rPr>
            <w:t>D’autre part, une production augmentant plus vite que prévu</w:t>
          </w:r>
          <w:r w:rsidRPr="00CB0B60">
            <w:rPr>
              <w:rFonts w:ascii="Daytona" w:hAnsi="Daytona" w:cs="Times New Roman"/>
              <w:sz w:val="20"/>
              <w:szCs w:val="20"/>
            </w:rPr>
            <w:t> : sous-estimation de la production nucléaire et de ses possibilités d’évolution, prolongation plus importante et plus systématique des centrales nucléaires existantes, solaire). Enfin, les solutions énergétiques non électriques (solaire thermique, géothermie…) semble avoir été sous-évaluées.</w:t>
          </w:r>
        </w:p>
        <w:p w14:paraId="60C406F9" w14:textId="77777777" w:rsidR="00DF336D" w:rsidRPr="00CB0B60" w:rsidRDefault="00DF336D" w:rsidP="00DF336D">
          <w:pPr>
            <w:jc w:val="both"/>
            <w:rPr>
              <w:rFonts w:ascii="Daytona" w:hAnsi="Daytona" w:cs="Times New Roman"/>
              <w:sz w:val="20"/>
              <w:szCs w:val="20"/>
            </w:rPr>
          </w:pPr>
          <w:r w:rsidRPr="00CB0B60">
            <w:rPr>
              <w:rFonts w:ascii="Daytona" w:hAnsi="Daytona" w:cs="Times New Roman"/>
              <w:b/>
              <w:bCs/>
              <w:i/>
              <w:iCs/>
              <w:sz w:val="20"/>
              <w:szCs w:val="20"/>
            </w:rPr>
            <w:t xml:space="preserve">En conclusion, tout pointe vers des besoins électriques nettement moindres que prévus d’ici 2035…et donc à l’inutilité de l’éolien </w:t>
          </w:r>
          <w:proofErr w:type="spellStart"/>
          <w:r w:rsidRPr="00CB0B60">
            <w:rPr>
              <w:rFonts w:ascii="Daytona" w:hAnsi="Daytona" w:cs="Times New Roman"/>
              <w:b/>
              <w:bCs/>
              <w:i/>
              <w:iCs/>
              <w:sz w:val="20"/>
              <w:szCs w:val="20"/>
            </w:rPr>
            <w:t>off shore</w:t>
          </w:r>
          <w:proofErr w:type="spellEnd"/>
          <w:r w:rsidRPr="00CB0B60">
            <w:rPr>
              <w:rFonts w:ascii="Daytona" w:hAnsi="Daytona" w:cs="Times New Roman"/>
              <w:b/>
              <w:bCs/>
              <w:i/>
              <w:iCs/>
              <w:sz w:val="20"/>
              <w:szCs w:val="20"/>
            </w:rPr>
            <w:t>, en dehors même de ses inconvénients pour le littoral, la vie marine et l’identité même de la Bretagne, ce qui est une bonne nouvelle ! Après 2035, le nucléaire pourra prendre le relais pour une transition énergétique réussie, soutenable économiquement et socialement, et plus respectueuse de l’environnement</w:t>
          </w:r>
          <w:r w:rsidRPr="00CB0B60">
            <w:rPr>
              <w:rFonts w:ascii="Daytona" w:hAnsi="Daytona" w:cs="Times New Roman"/>
              <w:sz w:val="20"/>
              <w:szCs w:val="20"/>
            </w:rPr>
            <w:t>.</w:t>
          </w:r>
        </w:p>
        <w:p w14:paraId="58791C6F" w14:textId="0E058F03" w:rsidR="0039458D" w:rsidRPr="00CE6363" w:rsidRDefault="00DF336D" w:rsidP="00CB0B60">
          <w:pPr>
            <w:jc w:val="both"/>
            <w:rPr>
              <w:rFonts w:ascii="Arial" w:hAnsi="Arial" w:cs="Arial"/>
              <w:color w:val="000000" w:themeColor="text1"/>
            </w:rPr>
          </w:pPr>
          <w:r w:rsidRPr="00CB0B60">
            <w:rPr>
              <w:rFonts w:ascii="Daytona" w:hAnsi="Daytona" w:cs="Times New Roman"/>
              <w:color w:val="3D393C"/>
              <w:sz w:val="20"/>
              <w:szCs w:val="20"/>
              <w:shd w:val="clear" w:color="auto" w:fill="FFFFFF"/>
            </w:rPr>
            <w:t xml:space="preserve">Pour toutes ces raisons, PIEBÎEM estime que les risques de coûts échoués dans l’aménagement des ports sont très importants et </w:t>
          </w:r>
          <w:r w:rsidR="00B918F5">
            <w:rPr>
              <w:rFonts w:ascii="Daytona" w:hAnsi="Daytona" w:cs="Times New Roman"/>
              <w:color w:val="3D393C"/>
              <w:sz w:val="20"/>
              <w:szCs w:val="20"/>
              <w:shd w:val="clear" w:color="auto" w:fill="FFFFFF"/>
            </w:rPr>
            <w:t xml:space="preserve">même </w:t>
          </w:r>
          <w:r w:rsidRPr="00CB0B60">
            <w:rPr>
              <w:rFonts w:ascii="Daytona" w:hAnsi="Daytona" w:cs="Times New Roman"/>
              <w:color w:val="3D393C"/>
              <w:sz w:val="20"/>
              <w:szCs w:val="20"/>
              <w:shd w:val="clear" w:color="auto" w:fill="FFFFFF"/>
            </w:rPr>
            <w:t>insoutenables</w:t>
          </w:r>
          <w:r w:rsidR="00F34389">
            <w:rPr>
              <w:rFonts w:ascii="Daytona" w:hAnsi="Daytona" w:cs="Times New Roman"/>
              <w:color w:val="3D393C"/>
              <w:sz w:val="20"/>
              <w:szCs w:val="20"/>
              <w:shd w:val="clear" w:color="auto" w:fill="FFFFFF"/>
            </w:rPr>
            <w:t xml:space="preserve"> et appelle à un moratoire</w:t>
          </w:r>
          <w:r w:rsidR="00ED2314">
            <w:rPr>
              <w:rFonts w:ascii="Daytona" w:hAnsi="Daytona" w:cs="Times New Roman"/>
              <w:color w:val="3D393C"/>
              <w:sz w:val="20"/>
              <w:szCs w:val="20"/>
              <w:shd w:val="clear" w:color="auto" w:fill="FFFFFF"/>
            </w:rPr>
            <w:t>.</w:t>
          </w:r>
        </w:p>
      </w:sdtContent>
    </w:sdt>
    <w:sectPr w:rsidR="0039458D" w:rsidRPr="00CE6363" w:rsidSect="008912D5">
      <w:type w:val="continuous"/>
      <w:pgSz w:w="11906" w:h="16838"/>
      <w:pgMar w:top="1417" w:right="1417" w:bottom="1417" w:left="1417" w:header="708" w:footer="265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C5865" w14:textId="77777777" w:rsidR="00FF1D42" w:rsidRDefault="00FF1D42" w:rsidP="001E558B">
      <w:pPr>
        <w:spacing w:after="0" w:line="240" w:lineRule="auto"/>
      </w:pPr>
      <w:r>
        <w:separator/>
      </w:r>
    </w:p>
  </w:endnote>
  <w:endnote w:type="continuationSeparator" w:id="0">
    <w:p w14:paraId="1C241C83" w14:textId="77777777" w:rsidR="00FF1D42" w:rsidRDefault="00FF1D42" w:rsidP="001E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Gotham 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ytona">
    <w:charset w:val="00"/>
    <w:family w:val="swiss"/>
    <w:pitch w:val="variable"/>
    <w:sig w:usb0="800002EF" w:usb1="0000000A"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DE4EA" w14:textId="2C7681C5" w:rsidR="001E558B" w:rsidRDefault="007307B2" w:rsidP="007307B2">
    <w:pPr>
      <w:pStyle w:val="Pieddepage"/>
      <w:tabs>
        <w:tab w:val="clear" w:pos="4536"/>
        <w:tab w:val="clear" w:pos="9072"/>
        <w:tab w:val="left" w:pos="2370"/>
      </w:tabs>
    </w:pPr>
    <w:r>
      <w:rPr>
        <w:b/>
        <w:bCs/>
        <w:noProof/>
        <w:color w:val="FFFFFF" w:themeColor="background1"/>
        <w:sz w:val="72"/>
        <w:szCs w:val="72"/>
      </w:rPr>
      <w:drawing>
        <wp:anchor distT="0" distB="0" distL="114300" distR="114300" simplePos="0" relativeHeight="251664384" behindDoc="1" locked="0" layoutInCell="1" allowOverlap="1" wp14:anchorId="4623A1D8" wp14:editId="3ABF50ED">
          <wp:simplePos x="0" y="0"/>
          <wp:positionH relativeFrom="column">
            <wp:posOffset>3048000</wp:posOffset>
          </wp:positionH>
          <wp:positionV relativeFrom="paragraph">
            <wp:posOffset>-674370</wp:posOffset>
          </wp:positionV>
          <wp:extent cx="3610610" cy="1784985"/>
          <wp:effectExtent l="0" t="0" r="0" b="0"/>
          <wp:wrapNone/>
          <wp:docPr id="715783014" name="Image 1" descr="Une image contenant capture d’écran, noir, obscurité,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57335" name="Image 10" descr="Une image contenant capture d’écran, noir, obscurité, Graphiqu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50870" t="82816"/>
                  <a:stretch/>
                </pic:blipFill>
                <pic:spPr bwMode="auto">
                  <a:xfrm>
                    <a:off x="0" y="0"/>
                    <a:ext cx="3610610" cy="1784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color w:val="FFFFFF" w:themeColor="background1"/>
        <w:sz w:val="72"/>
        <w:szCs w:val="72"/>
      </w:rPr>
      <w:drawing>
        <wp:anchor distT="0" distB="0" distL="114300" distR="114300" simplePos="0" relativeHeight="251663360" behindDoc="1" locked="0" layoutInCell="1" allowOverlap="1" wp14:anchorId="354908FF" wp14:editId="43CB45E4">
          <wp:simplePos x="0" y="0"/>
          <wp:positionH relativeFrom="column">
            <wp:posOffset>-885825</wp:posOffset>
          </wp:positionH>
          <wp:positionV relativeFrom="paragraph">
            <wp:posOffset>-323215</wp:posOffset>
          </wp:positionV>
          <wp:extent cx="1762125" cy="1425001"/>
          <wp:effectExtent l="0" t="0" r="0" b="3810"/>
          <wp:wrapNone/>
          <wp:docPr id="287953438" name="Image 11" descr="Une image contenant capture d’écran, noir, obscurité,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57335" name="Image 10" descr="Une image contenant capture d’écran, noir, obscurité, Graphique&#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82816" r="69958"/>
                  <a:stretch/>
                </pic:blipFill>
                <pic:spPr bwMode="auto">
                  <a:xfrm>
                    <a:off x="0" y="0"/>
                    <a:ext cx="1762125" cy="14250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C1C7C" w14:textId="77777777" w:rsidR="00FF1D42" w:rsidRDefault="00FF1D42" w:rsidP="001E558B">
      <w:pPr>
        <w:spacing w:after="0" w:line="240" w:lineRule="auto"/>
      </w:pPr>
      <w:r>
        <w:separator/>
      </w:r>
    </w:p>
  </w:footnote>
  <w:footnote w:type="continuationSeparator" w:id="0">
    <w:p w14:paraId="0131B364" w14:textId="77777777" w:rsidR="00FF1D42" w:rsidRDefault="00FF1D42" w:rsidP="001E5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FB0B5" w14:textId="19763FA7" w:rsidR="007307B2" w:rsidRDefault="007307B2">
    <w:pPr>
      <w:pStyle w:val="En-tte"/>
    </w:pPr>
    <w:r>
      <w:rPr>
        <w:noProof/>
      </w:rPr>
      <w:drawing>
        <wp:anchor distT="0" distB="0" distL="114300" distR="114300" simplePos="0" relativeHeight="251658240" behindDoc="1" locked="0" layoutInCell="1" allowOverlap="1" wp14:anchorId="481F64C5" wp14:editId="0071EBA6">
          <wp:simplePos x="0" y="0"/>
          <wp:positionH relativeFrom="column">
            <wp:posOffset>-795020</wp:posOffset>
          </wp:positionH>
          <wp:positionV relativeFrom="paragraph">
            <wp:posOffset>-278130</wp:posOffset>
          </wp:positionV>
          <wp:extent cx="2552065" cy="981075"/>
          <wp:effectExtent l="0" t="0" r="0" b="0"/>
          <wp:wrapTight wrapText="bothSides">
            <wp:wrapPolygon edited="0">
              <wp:start x="5482" y="5872"/>
              <wp:lineTo x="2580" y="6711"/>
              <wp:lineTo x="2257" y="7550"/>
              <wp:lineTo x="2257" y="15938"/>
              <wp:lineTo x="8868" y="16777"/>
              <wp:lineTo x="9835" y="16777"/>
              <wp:lineTo x="12737" y="15938"/>
              <wp:lineTo x="20799" y="14260"/>
              <wp:lineTo x="20799" y="10066"/>
              <wp:lineTo x="18219" y="7550"/>
              <wp:lineTo x="13705" y="5872"/>
              <wp:lineTo x="5482" y="5872"/>
            </wp:wrapPolygon>
          </wp:wrapTight>
          <wp:docPr id="100386323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981075"/>
                  </a:xfrm>
                  <a:prstGeom prst="rect">
                    <a:avLst/>
                  </a:prstGeom>
                  <a:noFill/>
                </pic:spPr>
              </pic:pic>
            </a:graphicData>
          </a:graphic>
          <wp14:sizeRelH relativeFrom="page">
            <wp14:pctWidth>0</wp14:pctWidth>
          </wp14:sizeRelH>
          <wp14:sizeRelV relativeFrom="page">
            <wp14:pctHeight>0</wp14:pctHeight>
          </wp14:sizeRelV>
        </wp:anchor>
      </w:drawing>
    </w:r>
  </w:p>
  <w:p w14:paraId="13F170D4" w14:textId="5473B8DC" w:rsidR="001E558B" w:rsidRDefault="001E558B">
    <w:pPr>
      <w:pStyle w:val="En-tte"/>
    </w:pPr>
  </w:p>
  <w:p w14:paraId="339CE2F2" w14:textId="77777777" w:rsidR="007307B2" w:rsidRDefault="007307B2">
    <w:pPr>
      <w:pStyle w:val="En-tte"/>
    </w:pPr>
  </w:p>
  <w:p w14:paraId="44A55483" w14:textId="5FF04C09" w:rsidR="007307B2" w:rsidRDefault="007307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1C412" w14:textId="13A4E753" w:rsidR="00915CC2" w:rsidRDefault="00915CC2">
    <w:pPr>
      <w:pStyle w:val="En-tte"/>
    </w:pPr>
    <w:r>
      <w:rPr>
        <w:noProof/>
      </w:rPr>
      <w:drawing>
        <wp:anchor distT="0" distB="0" distL="114300" distR="114300" simplePos="0" relativeHeight="251661312" behindDoc="1" locked="0" layoutInCell="1" allowOverlap="1" wp14:anchorId="6AAA0595" wp14:editId="2431E796">
          <wp:simplePos x="0" y="0"/>
          <wp:positionH relativeFrom="column">
            <wp:posOffset>-663356</wp:posOffset>
          </wp:positionH>
          <wp:positionV relativeFrom="paragraph">
            <wp:posOffset>-292231</wp:posOffset>
          </wp:positionV>
          <wp:extent cx="2459355" cy="944880"/>
          <wp:effectExtent l="0" t="0" r="0" b="0"/>
          <wp:wrapTight wrapText="bothSides">
            <wp:wrapPolygon edited="0">
              <wp:start x="5354" y="5661"/>
              <wp:lineTo x="2510" y="6968"/>
              <wp:lineTo x="2175" y="7839"/>
              <wp:lineTo x="2175" y="16113"/>
              <wp:lineTo x="8868" y="16984"/>
              <wp:lineTo x="9704" y="16984"/>
              <wp:lineTo x="12548" y="16113"/>
              <wp:lineTo x="20747" y="14371"/>
              <wp:lineTo x="20747" y="8710"/>
              <wp:lineTo x="17233" y="6968"/>
              <wp:lineTo x="8198" y="5661"/>
              <wp:lineTo x="5354" y="5661"/>
            </wp:wrapPolygon>
          </wp:wrapTight>
          <wp:docPr id="1731485834" name="Image 4" descr="Une image contenant Graphiqu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63253" name="Image 4" descr="Une image contenant Graphiqu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355" cy="944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869F7"/>
    <w:multiLevelType w:val="multilevel"/>
    <w:tmpl w:val="D63A0C6C"/>
    <w:styleLink w:val="LFO1"/>
    <w:lvl w:ilvl="0">
      <w:numFmt w:val="bullet"/>
      <w:pStyle w:val="7-PUCE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ADE13FE"/>
    <w:multiLevelType w:val="hybridMultilevel"/>
    <w:tmpl w:val="F93E7646"/>
    <w:lvl w:ilvl="0" w:tplc="C952026A">
      <w:start w:val="1"/>
      <w:numFmt w:val="decimal"/>
      <w:lvlText w:val="%1)"/>
      <w:lvlJc w:val="left"/>
      <w:pPr>
        <w:ind w:left="720" w:hanging="360"/>
      </w:pPr>
      <w:rPr>
        <w:rFonts w:hint="default"/>
        <w:color w:val="3D393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903F77"/>
    <w:multiLevelType w:val="hybridMultilevel"/>
    <w:tmpl w:val="4892979C"/>
    <w:lvl w:ilvl="0" w:tplc="8C806E8C">
      <w:start w:val="1"/>
      <w:numFmt w:val="decimal"/>
      <w:lvlText w:val="%1)"/>
      <w:lvlJc w:val="left"/>
      <w:pPr>
        <w:ind w:left="720" w:hanging="360"/>
      </w:pPr>
      <w:rPr>
        <w:rFonts w:hint="default"/>
        <w:color w:val="3D393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9D87275"/>
    <w:multiLevelType w:val="hybridMultilevel"/>
    <w:tmpl w:val="0254BF40"/>
    <w:lvl w:ilvl="0" w:tplc="ACD4DC2C">
      <w:start w:val="1"/>
      <w:numFmt w:val="decimal"/>
      <w:lvlText w:val="%1)"/>
      <w:lvlJc w:val="left"/>
      <w:pPr>
        <w:ind w:left="720" w:hanging="360"/>
      </w:pPr>
      <w:rPr>
        <w:rFonts w:hint="default"/>
        <w:color w:val="3D393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CE07ECA"/>
    <w:multiLevelType w:val="hybridMultilevel"/>
    <w:tmpl w:val="D5C8DFE6"/>
    <w:lvl w:ilvl="0" w:tplc="402AFE00">
      <w:start w:val="1"/>
      <w:numFmt w:val="decimal"/>
      <w:lvlText w:val="%1)"/>
      <w:lvlJc w:val="left"/>
      <w:pPr>
        <w:ind w:left="720" w:hanging="360"/>
      </w:pPr>
      <w:rPr>
        <w:rFonts w:hint="default"/>
        <w:color w:val="3D393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78402785">
    <w:abstractNumId w:val="0"/>
  </w:num>
  <w:num w:numId="2" w16cid:durableId="1904945665">
    <w:abstractNumId w:val="4"/>
  </w:num>
  <w:num w:numId="3" w16cid:durableId="1146705500">
    <w:abstractNumId w:val="2"/>
  </w:num>
  <w:num w:numId="4" w16cid:durableId="998310813">
    <w:abstractNumId w:val="3"/>
  </w:num>
  <w:num w:numId="5" w16cid:durableId="141729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8B"/>
    <w:rsid w:val="0003197C"/>
    <w:rsid w:val="00040A66"/>
    <w:rsid w:val="00054A63"/>
    <w:rsid w:val="00070DDE"/>
    <w:rsid w:val="000842DA"/>
    <w:rsid w:val="000A3A6A"/>
    <w:rsid w:val="000B37E9"/>
    <w:rsid w:val="000D626F"/>
    <w:rsid w:val="000F4CCB"/>
    <w:rsid w:val="0010240B"/>
    <w:rsid w:val="00127B5B"/>
    <w:rsid w:val="001455AC"/>
    <w:rsid w:val="00167D0B"/>
    <w:rsid w:val="00181EE6"/>
    <w:rsid w:val="001A4EDD"/>
    <w:rsid w:val="001B38F5"/>
    <w:rsid w:val="001C4E76"/>
    <w:rsid w:val="001E558B"/>
    <w:rsid w:val="001F6B3A"/>
    <w:rsid w:val="00210856"/>
    <w:rsid w:val="002209CC"/>
    <w:rsid w:val="0024446B"/>
    <w:rsid w:val="00263A8B"/>
    <w:rsid w:val="002C5417"/>
    <w:rsid w:val="00312388"/>
    <w:rsid w:val="003459F0"/>
    <w:rsid w:val="0037127D"/>
    <w:rsid w:val="00375591"/>
    <w:rsid w:val="0039458D"/>
    <w:rsid w:val="003D5F84"/>
    <w:rsid w:val="003F665F"/>
    <w:rsid w:val="0040555B"/>
    <w:rsid w:val="00465E72"/>
    <w:rsid w:val="004B0130"/>
    <w:rsid w:val="004B0797"/>
    <w:rsid w:val="004B2D12"/>
    <w:rsid w:val="004E18A6"/>
    <w:rsid w:val="004E4F1D"/>
    <w:rsid w:val="00502C00"/>
    <w:rsid w:val="00512761"/>
    <w:rsid w:val="0053448B"/>
    <w:rsid w:val="005578A0"/>
    <w:rsid w:val="005601EA"/>
    <w:rsid w:val="00563D4A"/>
    <w:rsid w:val="00583A40"/>
    <w:rsid w:val="00596989"/>
    <w:rsid w:val="005F51D3"/>
    <w:rsid w:val="0062355F"/>
    <w:rsid w:val="00626996"/>
    <w:rsid w:val="00652094"/>
    <w:rsid w:val="00690984"/>
    <w:rsid w:val="00697A26"/>
    <w:rsid w:val="006B1A56"/>
    <w:rsid w:val="006C155F"/>
    <w:rsid w:val="006D025E"/>
    <w:rsid w:val="006F7859"/>
    <w:rsid w:val="006F7CAE"/>
    <w:rsid w:val="0070421D"/>
    <w:rsid w:val="00721A84"/>
    <w:rsid w:val="007307B2"/>
    <w:rsid w:val="007669FD"/>
    <w:rsid w:val="00790608"/>
    <w:rsid w:val="007A1F27"/>
    <w:rsid w:val="007A22BE"/>
    <w:rsid w:val="007B5CB9"/>
    <w:rsid w:val="007D1D63"/>
    <w:rsid w:val="007E0628"/>
    <w:rsid w:val="007E09CC"/>
    <w:rsid w:val="00807999"/>
    <w:rsid w:val="0082390E"/>
    <w:rsid w:val="00872414"/>
    <w:rsid w:val="008912D5"/>
    <w:rsid w:val="008C09F2"/>
    <w:rsid w:val="008D63DA"/>
    <w:rsid w:val="008E4BFC"/>
    <w:rsid w:val="008F18F7"/>
    <w:rsid w:val="00901313"/>
    <w:rsid w:val="00915CC2"/>
    <w:rsid w:val="0092314E"/>
    <w:rsid w:val="009708AD"/>
    <w:rsid w:val="009835A1"/>
    <w:rsid w:val="00990C8C"/>
    <w:rsid w:val="009A6A23"/>
    <w:rsid w:val="009B0982"/>
    <w:rsid w:val="009C2EFD"/>
    <w:rsid w:val="009C7813"/>
    <w:rsid w:val="009E64F4"/>
    <w:rsid w:val="00A03361"/>
    <w:rsid w:val="00A17066"/>
    <w:rsid w:val="00A31268"/>
    <w:rsid w:val="00A40F20"/>
    <w:rsid w:val="00A55429"/>
    <w:rsid w:val="00A8020C"/>
    <w:rsid w:val="00A8102F"/>
    <w:rsid w:val="00AC4B7A"/>
    <w:rsid w:val="00AD3BD0"/>
    <w:rsid w:val="00AF20CE"/>
    <w:rsid w:val="00B11833"/>
    <w:rsid w:val="00B224C3"/>
    <w:rsid w:val="00B322E4"/>
    <w:rsid w:val="00B32AE4"/>
    <w:rsid w:val="00B46B09"/>
    <w:rsid w:val="00B63ABB"/>
    <w:rsid w:val="00B918F5"/>
    <w:rsid w:val="00BB34BA"/>
    <w:rsid w:val="00BD207E"/>
    <w:rsid w:val="00BF40C0"/>
    <w:rsid w:val="00BF62D6"/>
    <w:rsid w:val="00C0201A"/>
    <w:rsid w:val="00C10F83"/>
    <w:rsid w:val="00C2290C"/>
    <w:rsid w:val="00C44559"/>
    <w:rsid w:val="00C50D9E"/>
    <w:rsid w:val="00C547E3"/>
    <w:rsid w:val="00C73383"/>
    <w:rsid w:val="00C76E8A"/>
    <w:rsid w:val="00CB0B60"/>
    <w:rsid w:val="00CB26A0"/>
    <w:rsid w:val="00CE6363"/>
    <w:rsid w:val="00CE63D0"/>
    <w:rsid w:val="00D35EC9"/>
    <w:rsid w:val="00D441D9"/>
    <w:rsid w:val="00D71017"/>
    <w:rsid w:val="00D86BDA"/>
    <w:rsid w:val="00DA2E38"/>
    <w:rsid w:val="00DA3D75"/>
    <w:rsid w:val="00DD2B05"/>
    <w:rsid w:val="00DF336D"/>
    <w:rsid w:val="00E06148"/>
    <w:rsid w:val="00E070C2"/>
    <w:rsid w:val="00E071A3"/>
    <w:rsid w:val="00E40CEE"/>
    <w:rsid w:val="00E56399"/>
    <w:rsid w:val="00E6155F"/>
    <w:rsid w:val="00E714AA"/>
    <w:rsid w:val="00E72DE9"/>
    <w:rsid w:val="00E74F79"/>
    <w:rsid w:val="00EA37F2"/>
    <w:rsid w:val="00EC12A3"/>
    <w:rsid w:val="00ED2314"/>
    <w:rsid w:val="00ED777A"/>
    <w:rsid w:val="00F22B2D"/>
    <w:rsid w:val="00F258F9"/>
    <w:rsid w:val="00F34389"/>
    <w:rsid w:val="00F4265C"/>
    <w:rsid w:val="00F5323B"/>
    <w:rsid w:val="00F83C6C"/>
    <w:rsid w:val="00FC2BA5"/>
    <w:rsid w:val="00FF1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069B1"/>
  <w15:chartTrackingRefBased/>
  <w15:docId w15:val="{FFBBAE83-677A-4B2C-B449-9BCE7386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5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E5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E55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55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55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55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55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55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55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55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E55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E55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E55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E55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E55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55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55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558B"/>
    <w:rPr>
      <w:rFonts w:eastAsiaTheme="majorEastAsia" w:cstheme="majorBidi"/>
      <w:color w:val="272727" w:themeColor="text1" w:themeTint="D8"/>
    </w:rPr>
  </w:style>
  <w:style w:type="paragraph" w:styleId="Titre">
    <w:name w:val="Title"/>
    <w:basedOn w:val="Normal"/>
    <w:next w:val="Normal"/>
    <w:link w:val="TitreCar"/>
    <w:uiPriority w:val="10"/>
    <w:qFormat/>
    <w:rsid w:val="001E5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55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55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55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558B"/>
    <w:pPr>
      <w:spacing w:before="160"/>
      <w:jc w:val="center"/>
    </w:pPr>
    <w:rPr>
      <w:i/>
      <w:iCs/>
      <w:color w:val="404040" w:themeColor="text1" w:themeTint="BF"/>
    </w:rPr>
  </w:style>
  <w:style w:type="character" w:customStyle="1" w:styleId="CitationCar">
    <w:name w:val="Citation Car"/>
    <w:basedOn w:val="Policepardfaut"/>
    <w:link w:val="Citation"/>
    <w:uiPriority w:val="29"/>
    <w:rsid w:val="001E558B"/>
    <w:rPr>
      <w:i/>
      <w:iCs/>
      <w:color w:val="404040" w:themeColor="text1" w:themeTint="BF"/>
    </w:rPr>
  </w:style>
  <w:style w:type="paragraph" w:styleId="Paragraphedeliste">
    <w:name w:val="List Paragraph"/>
    <w:basedOn w:val="Normal"/>
    <w:uiPriority w:val="34"/>
    <w:qFormat/>
    <w:rsid w:val="001E558B"/>
    <w:pPr>
      <w:ind w:left="720"/>
      <w:contextualSpacing/>
    </w:pPr>
  </w:style>
  <w:style w:type="character" w:styleId="Accentuationintense">
    <w:name w:val="Intense Emphasis"/>
    <w:basedOn w:val="Policepardfaut"/>
    <w:uiPriority w:val="21"/>
    <w:qFormat/>
    <w:rsid w:val="001E558B"/>
    <w:rPr>
      <w:i/>
      <w:iCs/>
      <w:color w:val="0F4761" w:themeColor="accent1" w:themeShade="BF"/>
    </w:rPr>
  </w:style>
  <w:style w:type="paragraph" w:styleId="Citationintense">
    <w:name w:val="Intense Quote"/>
    <w:basedOn w:val="Normal"/>
    <w:next w:val="Normal"/>
    <w:link w:val="CitationintenseCar"/>
    <w:uiPriority w:val="30"/>
    <w:qFormat/>
    <w:rsid w:val="001E5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E558B"/>
    <w:rPr>
      <w:i/>
      <w:iCs/>
      <w:color w:val="0F4761" w:themeColor="accent1" w:themeShade="BF"/>
    </w:rPr>
  </w:style>
  <w:style w:type="character" w:styleId="Rfrenceintense">
    <w:name w:val="Intense Reference"/>
    <w:basedOn w:val="Policepardfaut"/>
    <w:uiPriority w:val="32"/>
    <w:qFormat/>
    <w:rsid w:val="001E558B"/>
    <w:rPr>
      <w:b/>
      <w:bCs/>
      <w:smallCaps/>
      <w:color w:val="0F4761" w:themeColor="accent1" w:themeShade="BF"/>
      <w:spacing w:val="5"/>
    </w:rPr>
  </w:style>
  <w:style w:type="paragraph" w:styleId="En-tte">
    <w:name w:val="header"/>
    <w:basedOn w:val="Normal"/>
    <w:link w:val="En-tteCar"/>
    <w:uiPriority w:val="99"/>
    <w:unhideWhenUsed/>
    <w:rsid w:val="001E558B"/>
    <w:pPr>
      <w:tabs>
        <w:tab w:val="center" w:pos="4536"/>
        <w:tab w:val="right" w:pos="9072"/>
      </w:tabs>
      <w:spacing w:after="0" w:line="240" w:lineRule="auto"/>
    </w:pPr>
  </w:style>
  <w:style w:type="character" w:customStyle="1" w:styleId="En-tteCar">
    <w:name w:val="En-tête Car"/>
    <w:basedOn w:val="Policepardfaut"/>
    <w:link w:val="En-tte"/>
    <w:uiPriority w:val="99"/>
    <w:rsid w:val="001E558B"/>
  </w:style>
  <w:style w:type="paragraph" w:styleId="Pieddepage">
    <w:name w:val="footer"/>
    <w:basedOn w:val="Normal"/>
    <w:link w:val="PieddepageCar"/>
    <w:uiPriority w:val="99"/>
    <w:unhideWhenUsed/>
    <w:rsid w:val="001E55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558B"/>
  </w:style>
  <w:style w:type="paragraph" w:customStyle="1" w:styleId="1-TITRE1">
    <w:name w:val="1-TITRE1"/>
    <w:rsid w:val="00F4265C"/>
    <w:pPr>
      <w:suppressAutoHyphens/>
      <w:autoSpaceDN w:val="0"/>
      <w:spacing w:before="120" w:after="220" w:line="240" w:lineRule="auto"/>
      <w:textAlignment w:val="baseline"/>
    </w:pPr>
    <w:rPr>
      <w:rFonts w:ascii="Arial Black" w:eastAsia="Calibri" w:hAnsi="Arial Black" w:cs="Gotham Light"/>
      <w:b/>
      <w:caps/>
      <w:color w:val="007BC2"/>
      <w:kern w:val="0"/>
      <w:sz w:val="20"/>
      <w:szCs w:val="20"/>
      <w14:ligatures w14:val="none"/>
    </w:rPr>
  </w:style>
  <w:style w:type="paragraph" w:customStyle="1" w:styleId="4-TEXTEBLEU">
    <w:name w:val="4-TEXTE BLEU"/>
    <w:rsid w:val="00F4265C"/>
    <w:pPr>
      <w:suppressAutoHyphens/>
      <w:autoSpaceDN w:val="0"/>
      <w:spacing w:after="0" w:line="240" w:lineRule="auto"/>
      <w:textAlignment w:val="baseline"/>
    </w:pPr>
    <w:rPr>
      <w:rFonts w:ascii="Arial" w:eastAsia="Calibri" w:hAnsi="Arial" w:cs="Arial"/>
      <w:color w:val="007BC2"/>
      <w:kern w:val="0"/>
      <w:sz w:val="20"/>
      <w:szCs w:val="20"/>
      <w14:ligatures w14:val="none"/>
    </w:rPr>
  </w:style>
  <w:style w:type="paragraph" w:customStyle="1" w:styleId="5-TEXTENORMAL">
    <w:name w:val="5-TEXTE NORMAL"/>
    <w:rsid w:val="00F4265C"/>
    <w:pPr>
      <w:suppressAutoHyphens/>
      <w:autoSpaceDN w:val="0"/>
      <w:spacing w:after="0" w:line="260" w:lineRule="atLeast"/>
      <w:textAlignment w:val="baseline"/>
    </w:pPr>
    <w:rPr>
      <w:rFonts w:ascii="Arial" w:eastAsia="Calibri" w:hAnsi="Arial" w:cs="Arial"/>
      <w:kern w:val="0"/>
      <w:sz w:val="20"/>
      <w:szCs w:val="20"/>
      <w14:ligatures w14:val="none"/>
    </w:rPr>
  </w:style>
  <w:style w:type="paragraph" w:customStyle="1" w:styleId="2-TITRE2">
    <w:name w:val="2-TITRE2"/>
    <w:rsid w:val="00F4265C"/>
    <w:pPr>
      <w:tabs>
        <w:tab w:val="left" w:pos="2460"/>
      </w:tabs>
      <w:suppressAutoHyphens/>
      <w:autoSpaceDN w:val="0"/>
      <w:spacing w:after="0" w:line="240" w:lineRule="atLeast"/>
      <w:textAlignment w:val="baseline"/>
    </w:pPr>
    <w:rPr>
      <w:rFonts w:ascii="Arial Black" w:eastAsia="Calibri" w:hAnsi="Arial Black" w:cs="Times New Roman"/>
      <w:color w:val="007BC2"/>
      <w:kern w:val="0"/>
      <w:sz w:val="22"/>
      <w:szCs w:val="22"/>
      <w14:ligatures w14:val="none"/>
    </w:rPr>
  </w:style>
  <w:style w:type="paragraph" w:customStyle="1" w:styleId="3-SOUSTITRE">
    <w:name w:val="3-SOUSTITRE"/>
    <w:rsid w:val="00F4265C"/>
    <w:pPr>
      <w:tabs>
        <w:tab w:val="left" w:pos="2460"/>
      </w:tabs>
      <w:suppressAutoHyphens/>
      <w:autoSpaceDN w:val="0"/>
      <w:spacing w:before="240" w:after="0" w:line="240" w:lineRule="atLeast"/>
      <w:textAlignment w:val="baseline"/>
    </w:pPr>
    <w:rPr>
      <w:rFonts w:ascii="Arial Black" w:eastAsia="Calibri" w:hAnsi="Arial Black" w:cs="Times New Roman"/>
      <w:kern w:val="0"/>
      <w:sz w:val="20"/>
      <w:szCs w:val="20"/>
      <w14:ligatures w14:val="none"/>
    </w:rPr>
  </w:style>
  <w:style w:type="paragraph" w:customStyle="1" w:styleId="6-TEXTE8BLEU">
    <w:name w:val="6-TEXTE 8 BLEU"/>
    <w:rsid w:val="00F4265C"/>
    <w:pPr>
      <w:tabs>
        <w:tab w:val="left" w:pos="2460"/>
      </w:tabs>
      <w:suppressAutoHyphens/>
      <w:autoSpaceDN w:val="0"/>
      <w:spacing w:after="0" w:line="200" w:lineRule="atLeast"/>
      <w:textAlignment w:val="baseline"/>
    </w:pPr>
    <w:rPr>
      <w:rFonts w:ascii="Arial" w:eastAsia="Calibri" w:hAnsi="Arial" w:cs="Times New Roman"/>
      <w:color w:val="007BC2"/>
      <w:kern w:val="0"/>
      <w:sz w:val="16"/>
      <w:szCs w:val="16"/>
      <w14:ligatures w14:val="none"/>
    </w:rPr>
  </w:style>
  <w:style w:type="paragraph" w:customStyle="1" w:styleId="7-PUCE1">
    <w:name w:val="7-PUCE1"/>
    <w:rsid w:val="00A40F20"/>
    <w:pPr>
      <w:numPr>
        <w:numId w:val="1"/>
      </w:numPr>
      <w:suppressAutoHyphens/>
      <w:autoSpaceDN w:val="0"/>
      <w:spacing w:before="60" w:after="60" w:line="240" w:lineRule="atLeast"/>
      <w:textAlignment w:val="baseline"/>
    </w:pPr>
    <w:rPr>
      <w:rFonts w:ascii="Arial" w:eastAsia="Calibri" w:hAnsi="Arial" w:cs="Times New Roman"/>
      <w:kern w:val="0"/>
      <w:sz w:val="20"/>
      <w:szCs w:val="20"/>
      <w14:ligatures w14:val="none"/>
    </w:rPr>
  </w:style>
  <w:style w:type="numbering" w:customStyle="1" w:styleId="LFO1">
    <w:name w:val="LFO1"/>
    <w:basedOn w:val="Aucuneliste"/>
    <w:rsid w:val="00A40F20"/>
    <w:pPr>
      <w:numPr>
        <w:numId w:val="1"/>
      </w:numPr>
    </w:pPr>
  </w:style>
  <w:style w:type="character" w:styleId="Lienhypertexte">
    <w:name w:val="Hyperlink"/>
    <w:basedOn w:val="Policepardfaut"/>
    <w:uiPriority w:val="99"/>
    <w:unhideWhenUsed/>
    <w:rsid w:val="000842DA"/>
    <w:rPr>
      <w:color w:val="467886" w:themeColor="hyperlink"/>
      <w:u w:val="single"/>
    </w:rPr>
  </w:style>
  <w:style w:type="character" w:styleId="Mentionnonrsolue">
    <w:name w:val="Unresolved Mention"/>
    <w:basedOn w:val="Policepardfaut"/>
    <w:uiPriority w:val="99"/>
    <w:semiHidden/>
    <w:unhideWhenUsed/>
    <w:rsid w:val="000842DA"/>
    <w:rPr>
      <w:color w:val="605E5C"/>
      <w:shd w:val="clear" w:color="auto" w:fill="E1DFDD"/>
    </w:rPr>
  </w:style>
  <w:style w:type="paragraph" w:styleId="Rvision">
    <w:name w:val="Revision"/>
    <w:hidden/>
    <w:uiPriority w:val="99"/>
    <w:semiHidden/>
    <w:rsid w:val="007D1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01187">
      <w:bodyDiv w:val="1"/>
      <w:marLeft w:val="0"/>
      <w:marRight w:val="0"/>
      <w:marTop w:val="0"/>
      <w:marBottom w:val="0"/>
      <w:divBdr>
        <w:top w:val="none" w:sz="0" w:space="0" w:color="auto"/>
        <w:left w:val="none" w:sz="0" w:space="0" w:color="auto"/>
        <w:bottom w:val="none" w:sz="0" w:space="0" w:color="auto"/>
        <w:right w:val="none" w:sz="0" w:space="0" w:color="auto"/>
      </w:divBdr>
    </w:div>
    <w:div w:id="244073380">
      <w:bodyDiv w:val="1"/>
      <w:marLeft w:val="0"/>
      <w:marRight w:val="0"/>
      <w:marTop w:val="0"/>
      <w:marBottom w:val="0"/>
      <w:divBdr>
        <w:top w:val="none" w:sz="0" w:space="0" w:color="auto"/>
        <w:left w:val="none" w:sz="0" w:space="0" w:color="auto"/>
        <w:bottom w:val="none" w:sz="0" w:space="0" w:color="auto"/>
        <w:right w:val="none" w:sz="0" w:space="0" w:color="auto"/>
      </w:divBdr>
    </w:div>
    <w:div w:id="457260485">
      <w:bodyDiv w:val="1"/>
      <w:marLeft w:val="0"/>
      <w:marRight w:val="0"/>
      <w:marTop w:val="0"/>
      <w:marBottom w:val="0"/>
      <w:divBdr>
        <w:top w:val="none" w:sz="0" w:space="0" w:color="auto"/>
        <w:left w:val="none" w:sz="0" w:space="0" w:color="auto"/>
        <w:bottom w:val="none" w:sz="0" w:space="0" w:color="auto"/>
        <w:right w:val="none" w:sz="0" w:space="0" w:color="auto"/>
      </w:divBdr>
    </w:div>
    <w:div w:id="1243952378">
      <w:bodyDiv w:val="1"/>
      <w:marLeft w:val="0"/>
      <w:marRight w:val="0"/>
      <w:marTop w:val="0"/>
      <w:marBottom w:val="0"/>
      <w:divBdr>
        <w:top w:val="none" w:sz="0" w:space="0" w:color="auto"/>
        <w:left w:val="none" w:sz="0" w:space="0" w:color="auto"/>
        <w:bottom w:val="none" w:sz="0" w:space="0" w:color="auto"/>
        <w:right w:val="none" w:sz="0" w:space="0" w:color="auto"/>
      </w:divBdr>
    </w:div>
    <w:div w:id="1544558898">
      <w:bodyDiv w:val="1"/>
      <w:marLeft w:val="0"/>
      <w:marRight w:val="0"/>
      <w:marTop w:val="0"/>
      <w:marBottom w:val="0"/>
      <w:divBdr>
        <w:top w:val="none" w:sz="0" w:space="0" w:color="auto"/>
        <w:left w:val="none" w:sz="0" w:space="0" w:color="auto"/>
        <w:bottom w:val="none" w:sz="0" w:space="0" w:color="auto"/>
        <w:right w:val="none" w:sz="0" w:space="0" w:color="auto"/>
      </w:divBdr>
    </w:div>
    <w:div w:id="198465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87B1D340B64DDDA89C51D1107FEE32"/>
        <w:category>
          <w:name w:val="Général"/>
          <w:gallery w:val="placeholder"/>
        </w:category>
        <w:types>
          <w:type w:val="bbPlcHdr"/>
        </w:types>
        <w:behaviors>
          <w:behavior w:val="content"/>
        </w:behaviors>
        <w:guid w:val="{ED8BCFD2-967B-4730-9D1A-930684FB7C44}"/>
      </w:docPartPr>
      <w:docPartBody>
        <w:p w:rsidR="00AC3569" w:rsidRDefault="00AC3569" w:rsidP="00AC3569">
          <w:pPr>
            <w:pStyle w:val="2887B1D340B64DDDA89C51D1107FEE32"/>
          </w:pPr>
          <w:r>
            <w:rPr>
              <w:rStyle w:val="Textedelespacerserv"/>
            </w:rPr>
            <w:t>Cliquez ou appuyez ici pour entrer du texte.</w:t>
          </w:r>
        </w:p>
      </w:docPartBody>
    </w:docPart>
    <w:docPart>
      <w:docPartPr>
        <w:name w:val="4C0CE5DA91274428A2C27A5BF240CAF8"/>
        <w:category>
          <w:name w:val="Général"/>
          <w:gallery w:val="placeholder"/>
        </w:category>
        <w:types>
          <w:type w:val="bbPlcHdr"/>
        </w:types>
        <w:behaviors>
          <w:behavior w:val="content"/>
        </w:behaviors>
        <w:guid w:val="{DABD264C-9A2C-43E7-850D-DBDD094254CB}"/>
      </w:docPartPr>
      <w:docPartBody>
        <w:p w:rsidR="0087320A" w:rsidRDefault="0087320A" w:rsidP="0087320A">
          <w:pPr>
            <w:pStyle w:val="4C0CE5DA91274428A2C27A5BF240CAF8"/>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Gotham 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ytona">
    <w:charset w:val="00"/>
    <w:family w:val="swiss"/>
    <w:pitch w:val="variable"/>
    <w:sig w:usb0="800002EF" w:usb1="0000000A"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69"/>
    <w:rsid w:val="000D626F"/>
    <w:rsid w:val="001014E1"/>
    <w:rsid w:val="0010240B"/>
    <w:rsid w:val="002127FA"/>
    <w:rsid w:val="002B147C"/>
    <w:rsid w:val="002C5417"/>
    <w:rsid w:val="004B0797"/>
    <w:rsid w:val="00516AB1"/>
    <w:rsid w:val="00825723"/>
    <w:rsid w:val="0087320A"/>
    <w:rsid w:val="009B0982"/>
    <w:rsid w:val="00A31268"/>
    <w:rsid w:val="00AC3569"/>
    <w:rsid w:val="00B322E4"/>
    <w:rsid w:val="00D86B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127FA"/>
  </w:style>
  <w:style w:type="paragraph" w:customStyle="1" w:styleId="2887B1D340B64DDDA89C51D1107FEE32">
    <w:name w:val="2887B1D340B64DDDA89C51D1107FEE32"/>
    <w:rsid w:val="00AC3569"/>
  </w:style>
  <w:style w:type="paragraph" w:customStyle="1" w:styleId="4C0CE5DA91274428A2C27A5BF240CAF8">
    <w:name w:val="4C0CE5DA91274428A2C27A5BF240CAF8"/>
    <w:rsid w:val="00873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2159</Words>
  <Characters>11880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Mouden</dc:creator>
  <cp:keywords/>
  <dc:description/>
  <cp:lastModifiedBy>sartori eric</cp:lastModifiedBy>
  <cp:revision>7</cp:revision>
  <cp:lastPrinted>2024-11-08T15:21:00Z</cp:lastPrinted>
  <dcterms:created xsi:type="dcterms:W3CDTF">2024-11-06T15:26:00Z</dcterms:created>
  <dcterms:modified xsi:type="dcterms:W3CDTF">2024-11-08T15:23:00Z</dcterms:modified>
</cp:coreProperties>
</file>